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C397" w14:textId="4D8E8CF7" w:rsidR="00AD1F65" w:rsidRPr="006A00D9" w:rsidRDefault="00AD1F65" w:rsidP="00AD1F65">
      <w:pPr>
        <w:ind w:right="-49"/>
        <w:contextualSpacing/>
        <w:rPr>
          <w:b/>
          <w:bCs/>
        </w:rPr>
      </w:pPr>
      <w:r w:rsidRPr="006A00D9">
        <w:br/>
      </w:r>
      <w:r w:rsidRPr="006A00D9">
        <w:rPr>
          <w:b/>
          <w:bCs/>
          <w:noProof/>
        </w:rPr>
        <w:drawing>
          <wp:anchor distT="0" distB="0" distL="0" distR="0" simplePos="0" relativeHeight="251658240" behindDoc="0" locked="0" layoutInCell="1" allowOverlap="1" wp14:anchorId="2E47729B" wp14:editId="06047250">
            <wp:simplePos x="0" y="0"/>
            <wp:positionH relativeFrom="page">
              <wp:posOffset>850790</wp:posOffset>
            </wp:positionH>
            <wp:positionV relativeFrom="paragraph">
              <wp:posOffset>71451</wp:posOffset>
            </wp:positionV>
            <wp:extent cx="1624168" cy="1560651"/>
            <wp:effectExtent l="0" t="0" r="0" b="0"/>
            <wp:wrapTopAndBottom/>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624168" cy="1560651"/>
                    </a:xfrm>
                    <a:prstGeom prst="rect">
                      <a:avLst/>
                    </a:prstGeom>
                  </pic:spPr>
                </pic:pic>
              </a:graphicData>
            </a:graphic>
          </wp:anchor>
        </w:drawing>
      </w:r>
      <w:r w:rsidRPr="006A00D9">
        <w:rPr>
          <w:b/>
          <w:bCs/>
        </w:rPr>
        <w:t>Information Security Incident Management Policy</w:t>
      </w:r>
    </w:p>
    <w:p w14:paraId="1DEF49FB" w14:textId="77777777" w:rsidR="00AD1F65" w:rsidRPr="006A00D9" w:rsidRDefault="00AD1F65" w:rsidP="00AD1F65">
      <w:pPr>
        <w:ind w:right="-49"/>
        <w:contextualSpacing/>
      </w:pPr>
    </w:p>
    <w:p w14:paraId="7FF5D8A7" w14:textId="77777777" w:rsidR="00AD1F65" w:rsidRPr="006A00D9" w:rsidRDefault="00AD1F65" w:rsidP="00AD1F65">
      <w:pPr>
        <w:pStyle w:val="Heading1"/>
        <w:numPr>
          <w:ilvl w:val="0"/>
          <w:numId w:val="5"/>
        </w:numPr>
        <w:tabs>
          <w:tab w:val="num" w:pos="360"/>
          <w:tab w:val="left" w:pos="448"/>
          <w:tab w:val="left" w:pos="449"/>
        </w:tabs>
        <w:ind w:left="0" w:right="-49" w:firstLine="0"/>
        <w:contextualSpacing/>
        <w:rPr>
          <w:sz w:val="22"/>
          <w:szCs w:val="22"/>
        </w:rPr>
      </w:pPr>
      <w:r w:rsidRPr="006A00D9">
        <w:rPr>
          <w:sz w:val="22"/>
          <w:szCs w:val="22"/>
        </w:rPr>
        <w:t>Purpose and scope</w:t>
      </w:r>
    </w:p>
    <w:p w14:paraId="158580E5" w14:textId="77777777" w:rsidR="00AD1F65" w:rsidRPr="006A00D9" w:rsidRDefault="00AD1F65" w:rsidP="00AD1F65">
      <w:pPr>
        <w:pStyle w:val="BodyText"/>
        <w:ind w:right="-49"/>
        <w:contextualSpacing/>
        <w:rPr>
          <w:sz w:val="22"/>
          <w:szCs w:val="22"/>
        </w:rPr>
      </w:pPr>
    </w:p>
    <w:p w14:paraId="3DAE9F58" w14:textId="4935A0F6" w:rsidR="00AD1F65" w:rsidRPr="00C06763" w:rsidRDefault="00AD1F65" w:rsidP="00AD1F65">
      <w:pPr>
        <w:pStyle w:val="BodyText"/>
        <w:ind w:right="-49"/>
        <w:contextualSpacing/>
        <w:rPr>
          <w:sz w:val="22"/>
          <w:szCs w:val="22"/>
        </w:rPr>
      </w:pPr>
      <w:r w:rsidRPr="00C06763">
        <w:rPr>
          <w:sz w:val="22"/>
          <w:szCs w:val="22"/>
        </w:rPr>
        <w:t>The purpose of this policy is to ensure a consistent and effective approach to the management of Information Security Incidents</w:t>
      </w:r>
      <w:r w:rsidR="00C06763" w:rsidRPr="00C06763">
        <w:rPr>
          <w:sz w:val="22"/>
          <w:szCs w:val="22"/>
        </w:rPr>
        <w:t>,</w:t>
      </w:r>
      <w:r w:rsidRPr="00C06763">
        <w:rPr>
          <w:sz w:val="22"/>
          <w:szCs w:val="22"/>
        </w:rPr>
        <w:t xml:space="preserve"> provides a definition of an Information Security Incident and establishes a structure for the reporting and management of such incidents. This policy supports the university in demonstrating its compliance with data protection legislation, which primarily includes the UK General Data Protection Regulation (UK GDPR) and the Data Protection Act 2018 (DPA 2018), to data subjects and the regulator for data protection and privacy in the UK (Information Commissioner). </w:t>
      </w:r>
    </w:p>
    <w:p w14:paraId="6F23B7C0" w14:textId="77777777" w:rsidR="00AD1F65" w:rsidRPr="006A00D9" w:rsidRDefault="00AD1F65" w:rsidP="00AD1F65">
      <w:pPr>
        <w:pStyle w:val="BodyText"/>
        <w:ind w:right="-49"/>
        <w:contextualSpacing/>
        <w:rPr>
          <w:b/>
          <w:bCs/>
          <w:sz w:val="22"/>
          <w:szCs w:val="22"/>
        </w:rPr>
      </w:pPr>
    </w:p>
    <w:p w14:paraId="484D3736" w14:textId="77777777" w:rsidR="00AD1F65" w:rsidRPr="00C06763" w:rsidRDefault="00AD1F65" w:rsidP="00AD1F65">
      <w:pPr>
        <w:pStyle w:val="BodyText"/>
        <w:ind w:right="-49"/>
        <w:contextualSpacing/>
        <w:rPr>
          <w:sz w:val="22"/>
          <w:szCs w:val="22"/>
        </w:rPr>
      </w:pPr>
      <w:r w:rsidRPr="00C06763">
        <w:rPr>
          <w:sz w:val="22"/>
          <w:szCs w:val="22"/>
        </w:rPr>
        <w:t xml:space="preserve">This policy applies to members of Cardiff University as defined under Ordinance 2 – Members of the University and any other party engaged where personal data is processed on behalf of Cardiff University. </w:t>
      </w:r>
    </w:p>
    <w:p w14:paraId="554BF333" w14:textId="77777777" w:rsidR="00AD1F65" w:rsidRPr="006A00D9" w:rsidRDefault="00AD1F65" w:rsidP="00AD1F65">
      <w:pPr>
        <w:pStyle w:val="BodyText"/>
        <w:ind w:right="-49"/>
        <w:contextualSpacing/>
        <w:rPr>
          <w:strike/>
          <w:sz w:val="22"/>
          <w:szCs w:val="22"/>
        </w:rPr>
      </w:pPr>
    </w:p>
    <w:p w14:paraId="12A5DBAF" w14:textId="77777777" w:rsidR="00AD1F65" w:rsidRPr="006A00D9" w:rsidRDefault="00AD1F65" w:rsidP="00712268">
      <w:pPr>
        <w:pStyle w:val="Heading1"/>
        <w:numPr>
          <w:ilvl w:val="0"/>
          <w:numId w:val="8"/>
        </w:numPr>
        <w:tabs>
          <w:tab w:val="num" w:pos="360"/>
          <w:tab w:val="left" w:pos="449"/>
        </w:tabs>
        <w:ind w:right="-49" w:hanging="448"/>
        <w:contextualSpacing/>
        <w:rPr>
          <w:sz w:val="22"/>
          <w:szCs w:val="22"/>
        </w:rPr>
      </w:pPr>
      <w:r w:rsidRPr="006A00D9">
        <w:rPr>
          <w:sz w:val="22"/>
          <w:szCs w:val="22"/>
        </w:rPr>
        <w:t>Policy</w:t>
      </w:r>
    </w:p>
    <w:p w14:paraId="7FE98E7B" w14:textId="77777777" w:rsidR="00AD1F65" w:rsidRPr="006A00D9" w:rsidRDefault="00AD1F65" w:rsidP="00AD1F65">
      <w:pPr>
        <w:pStyle w:val="ListParagraph"/>
        <w:tabs>
          <w:tab w:val="left" w:pos="741"/>
          <w:tab w:val="left" w:pos="742"/>
        </w:tabs>
        <w:ind w:left="0" w:right="-49"/>
        <w:contextualSpacing/>
        <w:rPr>
          <w:b/>
          <w:bCs/>
        </w:rPr>
      </w:pPr>
    </w:p>
    <w:p w14:paraId="3E0BF095" w14:textId="77777777" w:rsidR="00AD1F65" w:rsidRPr="00712268" w:rsidRDefault="00AD1F65" w:rsidP="00AD1F65">
      <w:pPr>
        <w:pStyle w:val="ListParagraph"/>
        <w:tabs>
          <w:tab w:val="left" w:pos="741"/>
          <w:tab w:val="left" w:pos="742"/>
        </w:tabs>
        <w:ind w:left="0" w:right="-49"/>
        <w:contextualSpacing/>
      </w:pPr>
      <w:r w:rsidRPr="00712268">
        <w:t xml:space="preserve">Cardiff University shall at all times address information security incidents efficiently and effectively and ensure that they are managed in accordance with the Information Security Incident Reporting and Management Procedure </w:t>
      </w:r>
    </w:p>
    <w:p w14:paraId="6B194D2F" w14:textId="77777777" w:rsidR="00AD1F65" w:rsidRPr="006A00D9" w:rsidRDefault="00AD1F65" w:rsidP="00AD1F65">
      <w:pPr>
        <w:pStyle w:val="ListParagraph"/>
        <w:tabs>
          <w:tab w:val="left" w:pos="741"/>
          <w:tab w:val="left" w:pos="742"/>
        </w:tabs>
        <w:ind w:left="0" w:right="-49"/>
        <w:contextualSpacing/>
      </w:pPr>
    </w:p>
    <w:p w14:paraId="44B2E1BC" w14:textId="77777777" w:rsidR="00AD1F65" w:rsidRPr="006A00D9" w:rsidRDefault="00AD1F65" w:rsidP="00AD1F65">
      <w:pPr>
        <w:pStyle w:val="ListParagraph"/>
        <w:tabs>
          <w:tab w:val="left" w:pos="741"/>
          <w:tab w:val="left" w:pos="742"/>
        </w:tabs>
        <w:ind w:left="0" w:right="-49"/>
        <w:contextualSpacing/>
      </w:pPr>
      <w:r w:rsidRPr="006A00D9">
        <w:t>All members of the university shall be made aware of the procedure for reporting Information Security Incidents and their responsibility to report such</w:t>
      </w:r>
      <w:r w:rsidRPr="006A00D9">
        <w:rPr>
          <w:spacing w:val="-16"/>
        </w:rPr>
        <w:t xml:space="preserve"> </w:t>
      </w:r>
      <w:r w:rsidRPr="006A00D9">
        <w:t>incidents.</w:t>
      </w:r>
    </w:p>
    <w:p w14:paraId="1D8AC53C" w14:textId="77777777" w:rsidR="00AD1F65" w:rsidRPr="006A00D9" w:rsidRDefault="00AD1F65" w:rsidP="00AD1F65">
      <w:pPr>
        <w:pStyle w:val="ListParagraph"/>
        <w:tabs>
          <w:tab w:val="left" w:pos="741"/>
          <w:tab w:val="left" w:pos="742"/>
        </w:tabs>
        <w:ind w:left="0" w:right="-49"/>
        <w:contextualSpacing/>
      </w:pPr>
    </w:p>
    <w:p w14:paraId="6FBD63C3" w14:textId="77777777" w:rsidR="00AD1F65" w:rsidRPr="00712268" w:rsidRDefault="00AD1F65" w:rsidP="00AD1F65">
      <w:pPr>
        <w:pStyle w:val="ListParagraph"/>
        <w:tabs>
          <w:tab w:val="left" w:pos="741"/>
          <w:tab w:val="left" w:pos="742"/>
        </w:tabs>
        <w:ind w:left="0" w:right="-49"/>
        <w:contextualSpacing/>
      </w:pPr>
      <w:r w:rsidRPr="00712268">
        <w:t xml:space="preserve">The severity of the incident shall be assessed and the management response shall be proportionate to the threat, invoking the Major Incident Plan where appropriate, to minimise the risks and adverse impact on any interested party. Relevant staff shall be trained in digital evidence collection, retention, recovery and presentation in accordance with legislative or regulatory obligations. </w:t>
      </w:r>
    </w:p>
    <w:p w14:paraId="4FA92F4B" w14:textId="77777777" w:rsidR="00AD1F65" w:rsidRPr="00712268" w:rsidRDefault="00AD1F65" w:rsidP="00AD1F65">
      <w:pPr>
        <w:pStyle w:val="ListParagraph"/>
        <w:tabs>
          <w:tab w:val="left" w:pos="741"/>
          <w:tab w:val="left" w:pos="742"/>
        </w:tabs>
        <w:ind w:left="0" w:right="-49"/>
        <w:contextualSpacing/>
      </w:pPr>
    </w:p>
    <w:p w14:paraId="2888290A" w14:textId="77777777" w:rsidR="00AD1F65" w:rsidRPr="00712268" w:rsidRDefault="00AD1F65" w:rsidP="00AD1F65">
      <w:pPr>
        <w:pStyle w:val="ListParagraph"/>
        <w:tabs>
          <w:tab w:val="left" w:pos="741"/>
          <w:tab w:val="left" w:pos="742"/>
        </w:tabs>
        <w:ind w:left="0" w:right="-49"/>
        <w:contextualSpacing/>
      </w:pPr>
      <w:r w:rsidRPr="00712268">
        <w:t>New risks identified as a result of an incident shall be assigned to the relevant risk owner and acceptable risks shall be mitigated promptly in accordance with the university’s risk management processes and in accordance with the Information Security Incident Reporting and Management Procedure.</w:t>
      </w:r>
    </w:p>
    <w:p w14:paraId="0161BDA6" w14:textId="77777777" w:rsidR="00AD1F65" w:rsidRPr="006A00D9" w:rsidRDefault="00AD1F65" w:rsidP="00AD1F65">
      <w:pPr>
        <w:pStyle w:val="BodyText"/>
        <w:ind w:right="-49"/>
        <w:contextualSpacing/>
        <w:rPr>
          <w:strike/>
          <w:sz w:val="22"/>
          <w:szCs w:val="22"/>
        </w:rPr>
      </w:pPr>
    </w:p>
    <w:p w14:paraId="1DB52A6D" w14:textId="7406DB34" w:rsidR="00AD1F65" w:rsidRPr="006A00D9" w:rsidRDefault="00AD1F65" w:rsidP="00AD1F65">
      <w:pPr>
        <w:pStyle w:val="ListParagraph"/>
        <w:tabs>
          <w:tab w:val="left" w:pos="742"/>
        </w:tabs>
        <w:ind w:left="0" w:right="-49"/>
        <w:contextualSpacing/>
      </w:pPr>
      <w:r w:rsidRPr="006A00D9">
        <w:t>Key information about information security incidents, including the impact of the incident (financial or otherwise), shall be formally recorded and the records shall be analysed in order to assess the effectiveness of information security</w:t>
      </w:r>
      <w:r w:rsidRPr="006A00D9">
        <w:rPr>
          <w:spacing w:val="-12"/>
        </w:rPr>
        <w:t xml:space="preserve"> </w:t>
      </w:r>
      <w:r w:rsidRPr="006A00D9">
        <w:t>controls.</w:t>
      </w:r>
    </w:p>
    <w:p w14:paraId="4A295604" w14:textId="77777777" w:rsidR="00AD1F65" w:rsidRPr="006A00D9" w:rsidRDefault="00AD1F65" w:rsidP="00AD1F65">
      <w:pPr>
        <w:pStyle w:val="BodyText"/>
        <w:ind w:right="-49"/>
        <w:contextualSpacing/>
        <w:rPr>
          <w:sz w:val="22"/>
          <w:szCs w:val="22"/>
        </w:rPr>
      </w:pPr>
    </w:p>
    <w:p w14:paraId="2ED5A232" w14:textId="77777777" w:rsidR="00AD1F65" w:rsidRPr="00712268" w:rsidRDefault="00AD1F65" w:rsidP="00AD1F65">
      <w:pPr>
        <w:pStyle w:val="ListParagraph"/>
        <w:tabs>
          <w:tab w:val="left" w:pos="741"/>
          <w:tab w:val="left" w:pos="742"/>
        </w:tabs>
        <w:ind w:left="0" w:right="-49"/>
        <w:contextualSpacing/>
      </w:pPr>
      <w:r w:rsidRPr="00712268">
        <w:t>New risks identified as a result of an incident shall be assigned to the relevant risk owner and unacceptable risks shall be mitigated promptly in accordance with the university’s risk management</w:t>
      </w:r>
      <w:r w:rsidRPr="00712268">
        <w:rPr>
          <w:spacing w:val="-2"/>
        </w:rPr>
        <w:t xml:space="preserve"> </w:t>
      </w:r>
      <w:r w:rsidRPr="00712268">
        <w:t>processes and in accordance with the Information Security Incident Reporting and Management Procedure.</w:t>
      </w:r>
    </w:p>
    <w:p w14:paraId="54BC25F0" w14:textId="77777777" w:rsidR="00AD1F65" w:rsidRPr="006A00D9" w:rsidRDefault="00AD1F65" w:rsidP="00AD1F65">
      <w:pPr>
        <w:pStyle w:val="BodyText"/>
        <w:ind w:right="-49"/>
        <w:contextualSpacing/>
        <w:rPr>
          <w:sz w:val="22"/>
          <w:szCs w:val="22"/>
        </w:rPr>
      </w:pPr>
    </w:p>
    <w:p w14:paraId="10D371F5" w14:textId="77777777" w:rsidR="00712268" w:rsidRDefault="00712268" w:rsidP="00AD1F65">
      <w:pPr>
        <w:pStyle w:val="BodyText"/>
        <w:ind w:right="-49"/>
        <w:contextualSpacing/>
        <w:rPr>
          <w:sz w:val="22"/>
          <w:szCs w:val="22"/>
        </w:rPr>
      </w:pPr>
      <w:r>
        <w:rPr>
          <w:sz w:val="22"/>
          <w:szCs w:val="22"/>
        </w:rPr>
        <w:br/>
      </w:r>
    </w:p>
    <w:p w14:paraId="6F84CF45" w14:textId="77777777" w:rsidR="00712268" w:rsidRDefault="00712268">
      <w:pPr>
        <w:widowControl/>
        <w:autoSpaceDE/>
        <w:autoSpaceDN/>
        <w:spacing w:after="160" w:line="259" w:lineRule="auto"/>
      </w:pPr>
      <w:r>
        <w:br w:type="page"/>
      </w:r>
    </w:p>
    <w:p w14:paraId="510856DB" w14:textId="1AC76BF1" w:rsidR="00AD1F65" w:rsidRPr="006A00D9" w:rsidRDefault="00AD1F65" w:rsidP="00AD1F65">
      <w:pPr>
        <w:pStyle w:val="BodyText"/>
        <w:ind w:right="-49"/>
        <w:contextualSpacing/>
        <w:rPr>
          <w:sz w:val="22"/>
          <w:szCs w:val="22"/>
        </w:rPr>
      </w:pPr>
      <w:r w:rsidRPr="006A00D9">
        <w:rPr>
          <w:sz w:val="22"/>
          <w:szCs w:val="22"/>
        </w:rPr>
        <w:lastRenderedPageBreak/>
        <w:t>An Information Security Incident is the occurrence or development of an unwanted or unexpected situation which indicates either:</w:t>
      </w:r>
    </w:p>
    <w:p w14:paraId="47F8F443" w14:textId="77777777" w:rsidR="00AD1F65" w:rsidRPr="006A00D9" w:rsidRDefault="00AD1F65" w:rsidP="00AD1F65">
      <w:pPr>
        <w:pStyle w:val="BodyText"/>
        <w:ind w:right="-49"/>
        <w:contextualSpacing/>
        <w:rPr>
          <w:sz w:val="22"/>
          <w:szCs w:val="22"/>
        </w:rPr>
      </w:pPr>
    </w:p>
    <w:p w14:paraId="34BF8CFA" w14:textId="77777777" w:rsidR="00AD1F65" w:rsidRPr="006A00D9" w:rsidRDefault="00AD1F65" w:rsidP="00AD1F65">
      <w:pPr>
        <w:pStyle w:val="ListParagraph"/>
        <w:numPr>
          <w:ilvl w:val="0"/>
          <w:numId w:val="4"/>
        </w:numPr>
        <w:tabs>
          <w:tab w:val="left" w:pos="1134"/>
        </w:tabs>
        <w:ind w:left="567" w:right="-49" w:firstLine="0"/>
        <w:contextualSpacing/>
        <w:rPr>
          <w:b/>
        </w:rPr>
      </w:pPr>
      <w:r w:rsidRPr="006A00D9">
        <w:t>a possible breach of an information security framework policy</w:t>
      </w:r>
      <w:r w:rsidRPr="006A00D9">
        <w:rPr>
          <w:spacing w:val="-13"/>
        </w:rPr>
        <w:t xml:space="preserve"> </w:t>
      </w:r>
      <w:r w:rsidRPr="006A00D9">
        <w:t>or</w:t>
      </w:r>
    </w:p>
    <w:p w14:paraId="3390161B" w14:textId="77777777" w:rsidR="00AD1F65" w:rsidRPr="006A00D9" w:rsidRDefault="00AD1F65" w:rsidP="00AD1F65">
      <w:pPr>
        <w:pStyle w:val="ListParagraph"/>
        <w:numPr>
          <w:ilvl w:val="0"/>
          <w:numId w:val="4"/>
        </w:numPr>
        <w:tabs>
          <w:tab w:val="left" w:pos="1134"/>
        </w:tabs>
        <w:ind w:left="1134" w:right="-49" w:hanging="567"/>
        <w:contextualSpacing/>
      </w:pPr>
      <w:r w:rsidRPr="006A00D9">
        <w:t>a failure of information security controls which have a significant probability of compromising business</w:t>
      </w:r>
      <w:r w:rsidRPr="006A00D9">
        <w:rPr>
          <w:spacing w:val="-3"/>
        </w:rPr>
        <w:t xml:space="preserve"> </w:t>
      </w:r>
      <w:r w:rsidRPr="006A00D9">
        <w:t>operations.</w:t>
      </w:r>
    </w:p>
    <w:p w14:paraId="39ACE7FF" w14:textId="77777777" w:rsidR="00AD1F65" w:rsidRPr="006A00D9" w:rsidRDefault="00AD1F65" w:rsidP="00AD1F65">
      <w:pPr>
        <w:ind w:right="-49"/>
        <w:contextualSpacing/>
      </w:pPr>
    </w:p>
    <w:p w14:paraId="394CE17A" w14:textId="77777777" w:rsidR="00AD1F65" w:rsidRPr="00712268" w:rsidRDefault="00AD1F65" w:rsidP="00AD1F65">
      <w:pPr>
        <w:ind w:right="-49"/>
        <w:contextualSpacing/>
        <w:rPr>
          <w:bCs/>
        </w:rPr>
      </w:pPr>
      <w:r w:rsidRPr="00712268">
        <w:rPr>
          <w:bCs/>
        </w:rPr>
        <w:t>This definition covers action or omission by Cardiff University members and any of its sub-contractors that process the university’s Classified information. Examples of Information Security Incidents include (but are not limited to):</w:t>
      </w:r>
    </w:p>
    <w:p w14:paraId="5572D5DE" w14:textId="77777777" w:rsidR="00AD1F65" w:rsidRPr="006A00D9" w:rsidRDefault="00AD1F65" w:rsidP="00AD1F65">
      <w:pPr>
        <w:ind w:right="-49"/>
        <w:contextualSpacing/>
      </w:pPr>
    </w:p>
    <w:p w14:paraId="3183899B" w14:textId="77777777" w:rsidR="00AD1F65" w:rsidRPr="006A00D9" w:rsidRDefault="00AD1F65" w:rsidP="00AD1F65">
      <w:pPr>
        <w:pStyle w:val="ListParagraph"/>
        <w:numPr>
          <w:ilvl w:val="0"/>
          <w:numId w:val="1"/>
        </w:numPr>
        <w:ind w:left="567" w:right="-49" w:hanging="567"/>
        <w:contextualSpacing/>
      </w:pPr>
      <w:r w:rsidRPr="006A00D9">
        <w:t>Accidental or unauthorised disclosure of Classified C1 ‘Highly Confidential’ or C2 ‘Confidential’ information including personal data (e.g. via misaddressed correspondence, incorrect attachment to record or incorrect system access permissions/filter failure)</w:t>
      </w:r>
    </w:p>
    <w:p w14:paraId="1E42BEA0" w14:textId="77777777" w:rsidR="00AD1F65" w:rsidRPr="006A00D9" w:rsidRDefault="00AD1F65" w:rsidP="00AD1F65">
      <w:pPr>
        <w:pStyle w:val="ListParagraph"/>
        <w:numPr>
          <w:ilvl w:val="0"/>
          <w:numId w:val="1"/>
        </w:numPr>
        <w:ind w:left="567" w:right="-49" w:hanging="567"/>
        <w:contextualSpacing/>
      </w:pPr>
      <w:r w:rsidRPr="006A00D9">
        <w:t>Direct loss or theft of Classified C1/C2 information (e.g. papers taken from car, post intercepted, unauthorised</w:t>
      </w:r>
      <w:r w:rsidRPr="006A00D9">
        <w:rPr>
          <w:spacing w:val="-2"/>
        </w:rPr>
        <w:t xml:space="preserve"> </w:t>
      </w:r>
      <w:r w:rsidRPr="006A00D9">
        <w:t>download)</w:t>
      </w:r>
    </w:p>
    <w:p w14:paraId="0197C643" w14:textId="77777777" w:rsidR="00AD1F65" w:rsidRPr="006A00D9" w:rsidRDefault="00AD1F65" w:rsidP="00AD1F65">
      <w:pPr>
        <w:pStyle w:val="ListParagraph"/>
        <w:numPr>
          <w:ilvl w:val="0"/>
          <w:numId w:val="1"/>
        </w:numPr>
        <w:ind w:left="567" w:right="-49" w:hanging="567"/>
        <w:contextualSpacing/>
      </w:pPr>
      <w:r w:rsidRPr="006A00D9">
        <w:t>Loss or theft of equipment used to store Classified Information C1/C2 (e.g. laptop, smartphone, USB</w:t>
      </w:r>
      <w:r w:rsidRPr="006A00D9">
        <w:rPr>
          <w:spacing w:val="-1"/>
        </w:rPr>
        <w:t xml:space="preserve"> </w:t>
      </w:r>
      <w:r w:rsidRPr="006A00D9">
        <w:t>stick)</w:t>
      </w:r>
    </w:p>
    <w:p w14:paraId="369DAC6A" w14:textId="77777777" w:rsidR="00AD1F65" w:rsidRPr="006A00D9" w:rsidRDefault="00AD1F65" w:rsidP="00AD1F65">
      <w:pPr>
        <w:pStyle w:val="ListParagraph"/>
        <w:numPr>
          <w:ilvl w:val="0"/>
          <w:numId w:val="2"/>
        </w:numPr>
        <w:ind w:left="567" w:right="-49" w:hanging="567"/>
        <w:contextualSpacing/>
      </w:pPr>
      <w:r w:rsidRPr="006A00D9">
        <w:t>Corruption or unauthorised modification of vital records (e.g. alteration of master</w:t>
      </w:r>
      <w:r w:rsidRPr="006A00D9">
        <w:rPr>
          <w:spacing w:val="-18"/>
        </w:rPr>
        <w:t xml:space="preserve"> </w:t>
      </w:r>
      <w:r w:rsidRPr="006A00D9">
        <w:t>records)</w:t>
      </w:r>
    </w:p>
    <w:p w14:paraId="59EC4190" w14:textId="77777777" w:rsidR="00AD1F65" w:rsidRPr="006A00D9" w:rsidRDefault="00AD1F65" w:rsidP="00AD1F65">
      <w:pPr>
        <w:pStyle w:val="ListParagraph"/>
        <w:numPr>
          <w:ilvl w:val="0"/>
          <w:numId w:val="2"/>
        </w:numPr>
        <w:ind w:left="567" w:right="-49" w:hanging="567"/>
        <w:contextualSpacing/>
      </w:pPr>
      <w:r w:rsidRPr="006A00D9">
        <w:t>Computer system or equipment compromise (e.g. virus, malware, denial of service</w:t>
      </w:r>
      <w:r w:rsidRPr="006A00D9">
        <w:rPr>
          <w:spacing w:val="-17"/>
        </w:rPr>
        <w:t xml:space="preserve"> </w:t>
      </w:r>
      <w:r w:rsidRPr="006A00D9">
        <w:t>attack)</w:t>
      </w:r>
    </w:p>
    <w:p w14:paraId="579C1B8F" w14:textId="77777777" w:rsidR="00AD1F65" w:rsidRPr="006A00D9" w:rsidRDefault="00AD1F65" w:rsidP="00AD1F65">
      <w:pPr>
        <w:pStyle w:val="ListParagraph"/>
        <w:numPr>
          <w:ilvl w:val="0"/>
          <w:numId w:val="2"/>
        </w:numPr>
        <w:ind w:left="567" w:right="-49" w:hanging="567"/>
        <w:contextualSpacing/>
      </w:pPr>
      <w:r w:rsidRPr="006A00D9">
        <w:t>Compromised IT user account (e.g. spoofing, hacking, shared</w:t>
      </w:r>
      <w:r w:rsidRPr="006A00D9">
        <w:rPr>
          <w:spacing w:val="-12"/>
        </w:rPr>
        <w:t xml:space="preserve"> </w:t>
      </w:r>
      <w:r w:rsidRPr="006A00D9">
        <w:t>password)</w:t>
      </w:r>
    </w:p>
    <w:p w14:paraId="1ADA2C85" w14:textId="77777777" w:rsidR="00AD1F65" w:rsidRPr="006A00D9" w:rsidRDefault="00AD1F65" w:rsidP="00AD1F65">
      <w:pPr>
        <w:pStyle w:val="ListParagraph"/>
        <w:numPr>
          <w:ilvl w:val="0"/>
          <w:numId w:val="2"/>
        </w:numPr>
        <w:ind w:left="567" w:right="-49" w:hanging="567"/>
        <w:contextualSpacing/>
      </w:pPr>
      <w:r w:rsidRPr="006A00D9">
        <w:t>Break in at a location holding Classified information or containing critical information processing equipment such as</w:t>
      </w:r>
      <w:r w:rsidRPr="006A00D9">
        <w:rPr>
          <w:spacing w:val="-5"/>
        </w:rPr>
        <w:t xml:space="preserve"> </w:t>
      </w:r>
      <w:r w:rsidRPr="006A00D9">
        <w:t>servers</w:t>
      </w:r>
    </w:p>
    <w:p w14:paraId="3EEAAF8D" w14:textId="77777777" w:rsidR="00AD1F65" w:rsidRPr="006A00D9" w:rsidRDefault="00AD1F65" w:rsidP="00AD1F65">
      <w:pPr>
        <w:pStyle w:val="BodyText"/>
        <w:ind w:right="-49"/>
        <w:contextualSpacing/>
        <w:rPr>
          <w:sz w:val="22"/>
          <w:szCs w:val="22"/>
        </w:rPr>
      </w:pPr>
    </w:p>
    <w:p w14:paraId="7C00289E" w14:textId="6A1F1B7D" w:rsidR="00AD1F65" w:rsidRPr="00712268" w:rsidRDefault="00AD1F65" w:rsidP="00AD1F65">
      <w:pPr>
        <w:pStyle w:val="ListParagraph"/>
        <w:tabs>
          <w:tab w:val="left" w:pos="742"/>
        </w:tabs>
        <w:ind w:left="0" w:right="-49"/>
        <w:contextualSpacing/>
      </w:pPr>
      <w:r w:rsidRPr="00712268">
        <w:t>Information security incidents shall be escalated according to the risk management criteria within the Information Security Incident Reporting and Management Procedure and reported to the appropriate external authorities where relevant by authorised</w:t>
      </w:r>
      <w:r w:rsidRPr="00712268">
        <w:rPr>
          <w:spacing w:val="-3"/>
        </w:rPr>
        <w:t xml:space="preserve"> </w:t>
      </w:r>
      <w:r w:rsidRPr="00712268">
        <w:t>individuals.</w:t>
      </w:r>
    </w:p>
    <w:p w14:paraId="2D2330E2" w14:textId="77777777" w:rsidR="00AD1F65" w:rsidRPr="006A00D9" w:rsidRDefault="00AD1F65" w:rsidP="00AD1F65">
      <w:pPr>
        <w:pStyle w:val="BodyText"/>
        <w:ind w:right="-49"/>
        <w:contextualSpacing/>
        <w:rPr>
          <w:sz w:val="22"/>
          <w:szCs w:val="22"/>
        </w:rPr>
      </w:pPr>
    </w:p>
    <w:p w14:paraId="3A170EC4" w14:textId="77777777" w:rsidR="00AD1F65" w:rsidRPr="006A00D9" w:rsidRDefault="00AD1F65" w:rsidP="00AD1F65">
      <w:pPr>
        <w:pStyle w:val="Heading1"/>
        <w:numPr>
          <w:ilvl w:val="0"/>
          <w:numId w:val="8"/>
        </w:numPr>
        <w:tabs>
          <w:tab w:val="num" w:pos="360"/>
          <w:tab w:val="left" w:pos="448"/>
          <w:tab w:val="left" w:pos="449"/>
        </w:tabs>
        <w:ind w:left="0" w:right="-49" w:firstLine="0"/>
        <w:contextualSpacing/>
        <w:rPr>
          <w:sz w:val="22"/>
          <w:szCs w:val="22"/>
        </w:rPr>
      </w:pPr>
      <w:r w:rsidRPr="006A00D9">
        <w:rPr>
          <w:sz w:val="22"/>
          <w:szCs w:val="22"/>
        </w:rPr>
        <w:t>Roles and Responsibilities</w:t>
      </w:r>
    </w:p>
    <w:p w14:paraId="219E45AE" w14:textId="77777777" w:rsidR="00AD1F65" w:rsidRPr="006A00D9" w:rsidRDefault="00AD1F65" w:rsidP="00AD1F65">
      <w:pPr>
        <w:pStyle w:val="ListParagraph"/>
        <w:tabs>
          <w:tab w:val="left" w:pos="798"/>
          <w:tab w:val="left" w:pos="799"/>
        </w:tabs>
        <w:ind w:left="0" w:right="-49"/>
        <w:contextualSpacing/>
      </w:pPr>
    </w:p>
    <w:p w14:paraId="4FE3DAD5" w14:textId="1675A0FE" w:rsidR="00AD1F65" w:rsidRPr="00712268" w:rsidRDefault="00AD1F65" w:rsidP="00AD1F65">
      <w:pPr>
        <w:pStyle w:val="ListParagraph"/>
        <w:tabs>
          <w:tab w:val="left" w:pos="798"/>
          <w:tab w:val="left" w:pos="799"/>
        </w:tabs>
        <w:ind w:left="0" w:right="-49"/>
        <w:contextualSpacing/>
        <w:rPr>
          <w:bCs/>
        </w:rPr>
      </w:pPr>
      <w:r w:rsidRPr="006A00D9">
        <w:t xml:space="preserve">All members of the university are responsible for reporting actual or suspected Information Security Incidents </w:t>
      </w:r>
      <w:r w:rsidRPr="00712268">
        <w:rPr>
          <w:bCs/>
        </w:rPr>
        <w:t>directly</w:t>
      </w:r>
      <w:r w:rsidRPr="006A00D9">
        <w:rPr>
          <w:b/>
        </w:rPr>
        <w:t xml:space="preserve"> </w:t>
      </w:r>
      <w:r w:rsidRPr="006A00D9">
        <w:t xml:space="preserve">to the </w:t>
      </w:r>
      <w:r w:rsidRPr="00712268">
        <w:t>IT Service Desk</w:t>
      </w:r>
      <w:r w:rsidRPr="006A00D9">
        <w:rPr>
          <w:b/>
          <w:bCs/>
        </w:rPr>
        <w:t xml:space="preserve"> </w:t>
      </w:r>
      <w:r w:rsidRPr="006A00D9">
        <w:t>without undue delay in accordance with the Information Security Incident Reporting</w:t>
      </w:r>
      <w:r w:rsidRPr="006A00D9">
        <w:rPr>
          <w:spacing w:val="-11"/>
        </w:rPr>
        <w:t xml:space="preserve"> and Management </w:t>
      </w:r>
      <w:r w:rsidRPr="006A00D9">
        <w:t xml:space="preserve">Procedure. </w:t>
      </w:r>
      <w:r w:rsidRPr="00712268">
        <w:rPr>
          <w:bCs/>
        </w:rPr>
        <w:t>Local procedures which conflict with this are not permitted.</w:t>
      </w:r>
    </w:p>
    <w:p w14:paraId="734F072D" w14:textId="77777777" w:rsidR="00AD1F65" w:rsidRPr="006A00D9" w:rsidRDefault="00AD1F65" w:rsidP="00AD1F65">
      <w:pPr>
        <w:pStyle w:val="BodyText"/>
        <w:ind w:right="-49"/>
        <w:contextualSpacing/>
        <w:rPr>
          <w:sz w:val="22"/>
          <w:szCs w:val="22"/>
        </w:rPr>
      </w:pPr>
    </w:p>
    <w:p w14:paraId="39D33578" w14:textId="67280E0B" w:rsidR="00AD1F65" w:rsidRPr="00712268" w:rsidRDefault="00AD1F65" w:rsidP="00AD1F65">
      <w:pPr>
        <w:ind w:right="-49"/>
        <w:contextualSpacing/>
      </w:pPr>
      <w:r w:rsidRPr="006A00D9">
        <w:t xml:space="preserve">Failure to report an Information Security Incident and any other breach of this policy shall be considered to be a disciplinary matter and shall be reported to the Senior Information Risk Owner </w:t>
      </w:r>
      <w:r w:rsidR="0010093B" w:rsidRPr="00712268">
        <w:t xml:space="preserve">for onward transmission to HR in order that it can </w:t>
      </w:r>
      <w:r w:rsidRPr="00712268">
        <w:t>be addressed under the relevant disciplinary/conduct</w:t>
      </w:r>
      <w:r w:rsidRPr="00712268">
        <w:rPr>
          <w:spacing w:val="-12"/>
        </w:rPr>
        <w:t xml:space="preserve"> </w:t>
      </w:r>
      <w:r w:rsidRPr="00712268">
        <w:t>procedure.</w:t>
      </w:r>
    </w:p>
    <w:p w14:paraId="76B71AA0" w14:textId="77777777" w:rsidR="00AD1F65" w:rsidRPr="006A00D9" w:rsidRDefault="00AD1F65" w:rsidP="00AD1F65">
      <w:pPr>
        <w:pStyle w:val="BodyText"/>
        <w:ind w:right="-49"/>
        <w:contextualSpacing/>
        <w:rPr>
          <w:sz w:val="22"/>
          <w:szCs w:val="22"/>
        </w:rPr>
      </w:pPr>
    </w:p>
    <w:p w14:paraId="69856AC0" w14:textId="2CD0F3DC" w:rsidR="00AD1F65" w:rsidRPr="006A00D9" w:rsidRDefault="00AD1F65" w:rsidP="00AD1F65">
      <w:pPr>
        <w:pStyle w:val="ListParagraph"/>
        <w:tabs>
          <w:tab w:val="left" w:pos="799"/>
        </w:tabs>
        <w:ind w:left="0" w:right="-49"/>
        <w:contextualSpacing/>
      </w:pPr>
      <w:r w:rsidRPr="006A00D9">
        <w:t xml:space="preserve">Contractors </w:t>
      </w:r>
      <w:r w:rsidRPr="00712268">
        <w:t>(including their agents and sub-contractors) undertaking work on</w:t>
      </w:r>
      <w:r w:rsidRPr="006A00D9">
        <w:t xml:space="preserve"> </w:t>
      </w:r>
      <w:r w:rsidR="00712268">
        <w:t xml:space="preserve">the </w:t>
      </w:r>
      <w:r w:rsidRPr="006A00D9">
        <w:t>university’s information systems and services shall be required to note and report any significant information security weaknesses in those systems or</w:t>
      </w:r>
      <w:r w:rsidRPr="006A00D9">
        <w:rPr>
          <w:spacing w:val="-22"/>
        </w:rPr>
        <w:t xml:space="preserve"> </w:t>
      </w:r>
      <w:r w:rsidRPr="006A00D9">
        <w:t>services.</w:t>
      </w:r>
    </w:p>
    <w:p w14:paraId="3E5D470E" w14:textId="77777777" w:rsidR="00AD1F65" w:rsidRPr="006A00D9" w:rsidRDefault="00AD1F65" w:rsidP="00AD1F65">
      <w:pPr>
        <w:pStyle w:val="BodyText"/>
        <w:ind w:right="-49"/>
        <w:contextualSpacing/>
        <w:rPr>
          <w:sz w:val="22"/>
          <w:szCs w:val="22"/>
        </w:rPr>
      </w:pPr>
    </w:p>
    <w:p w14:paraId="1B7BAEDE" w14:textId="77777777" w:rsidR="00AD1F65" w:rsidRPr="006A00D9" w:rsidRDefault="00AD1F65" w:rsidP="00AD1F65">
      <w:pPr>
        <w:pStyle w:val="BodyText"/>
        <w:ind w:right="-49"/>
        <w:contextualSpacing/>
        <w:rPr>
          <w:sz w:val="22"/>
          <w:szCs w:val="22"/>
        </w:rPr>
      </w:pPr>
      <w:r w:rsidRPr="006A00D9">
        <w:rPr>
          <w:sz w:val="22"/>
          <w:szCs w:val="22"/>
        </w:rPr>
        <w:t xml:space="preserve">The responsibility for responding to information security incidents shall be as set out in the Information Security Incident </w:t>
      </w:r>
      <w:r w:rsidRPr="00712268">
        <w:rPr>
          <w:bCs/>
          <w:sz w:val="22"/>
          <w:szCs w:val="22"/>
        </w:rPr>
        <w:t>Reporting and</w:t>
      </w:r>
      <w:r w:rsidRPr="006A00D9">
        <w:rPr>
          <w:b/>
          <w:sz w:val="22"/>
          <w:szCs w:val="22"/>
        </w:rPr>
        <w:t xml:space="preserve"> </w:t>
      </w:r>
      <w:r w:rsidRPr="006A00D9">
        <w:rPr>
          <w:sz w:val="22"/>
          <w:szCs w:val="22"/>
        </w:rPr>
        <w:t>Management</w:t>
      </w:r>
      <w:r w:rsidRPr="006A00D9">
        <w:rPr>
          <w:spacing w:val="-11"/>
          <w:sz w:val="22"/>
          <w:szCs w:val="22"/>
        </w:rPr>
        <w:t xml:space="preserve"> </w:t>
      </w:r>
      <w:r w:rsidRPr="006A00D9">
        <w:rPr>
          <w:sz w:val="22"/>
          <w:szCs w:val="22"/>
        </w:rPr>
        <w:t>Procedure.</w:t>
      </w:r>
    </w:p>
    <w:p w14:paraId="72F038C3" w14:textId="77777777" w:rsidR="00AD1F65" w:rsidRPr="006A00D9" w:rsidRDefault="00AD1F65" w:rsidP="00AD1F65">
      <w:pPr>
        <w:pStyle w:val="BodyText"/>
        <w:ind w:right="-49"/>
        <w:contextualSpacing/>
        <w:rPr>
          <w:sz w:val="22"/>
          <w:szCs w:val="22"/>
        </w:rPr>
      </w:pPr>
    </w:p>
    <w:p w14:paraId="04BE80F0" w14:textId="77777777" w:rsidR="00AD1F65" w:rsidRPr="006A00D9" w:rsidRDefault="00AD1F65" w:rsidP="00AD1F65">
      <w:pPr>
        <w:pStyle w:val="BodyText"/>
        <w:tabs>
          <w:tab w:val="left" w:pos="798"/>
        </w:tabs>
        <w:ind w:right="-49"/>
        <w:contextualSpacing/>
        <w:rPr>
          <w:sz w:val="22"/>
          <w:szCs w:val="22"/>
        </w:rPr>
      </w:pPr>
      <w:r w:rsidRPr="006A00D9">
        <w:rPr>
          <w:sz w:val="22"/>
          <w:szCs w:val="22"/>
        </w:rPr>
        <w:t xml:space="preserve">The responsibility for reporting serious Information Security Incidents to external authorities lies with the Senior Information Risk Owner unless otherwise delegated in the Information Security Incident </w:t>
      </w:r>
      <w:r w:rsidRPr="00712268">
        <w:rPr>
          <w:bCs/>
          <w:sz w:val="22"/>
          <w:szCs w:val="22"/>
        </w:rPr>
        <w:t>Reporting and</w:t>
      </w:r>
      <w:r w:rsidRPr="006A00D9">
        <w:rPr>
          <w:b/>
          <w:sz w:val="22"/>
          <w:szCs w:val="22"/>
        </w:rPr>
        <w:t xml:space="preserve"> </w:t>
      </w:r>
      <w:r w:rsidRPr="006A00D9">
        <w:rPr>
          <w:sz w:val="22"/>
          <w:szCs w:val="22"/>
        </w:rPr>
        <w:t>Management</w:t>
      </w:r>
      <w:r w:rsidRPr="006A00D9">
        <w:rPr>
          <w:spacing w:val="-9"/>
          <w:sz w:val="22"/>
          <w:szCs w:val="22"/>
        </w:rPr>
        <w:t xml:space="preserve"> </w:t>
      </w:r>
      <w:r w:rsidRPr="006A00D9">
        <w:rPr>
          <w:sz w:val="22"/>
          <w:szCs w:val="22"/>
        </w:rPr>
        <w:t>Procedure.</w:t>
      </w:r>
    </w:p>
    <w:p w14:paraId="1B65207A" w14:textId="77777777" w:rsidR="00AD1F65" w:rsidRPr="006A00D9" w:rsidRDefault="00AD1F65" w:rsidP="00AD1F65">
      <w:pPr>
        <w:pStyle w:val="BodyText"/>
        <w:tabs>
          <w:tab w:val="left" w:pos="798"/>
        </w:tabs>
        <w:ind w:right="-49"/>
        <w:contextualSpacing/>
        <w:rPr>
          <w:sz w:val="22"/>
          <w:szCs w:val="22"/>
        </w:rPr>
      </w:pPr>
    </w:p>
    <w:p w14:paraId="119B9F05" w14:textId="77777777" w:rsidR="00AD1F65" w:rsidRPr="00712268" w:rsidRDefault="00AD1F65" w:rsidP="00AD1F65">
      <w:pPr>
        <w:ind w:right="-49"/>
        <w:contextualSpacing/>
        <w:rPr>
          <w:bCs/>
        </w:rPr>
      </w:pPr>
      <w:r w:rsidRPr="00712268">
        <w:rPr>
          <w:bCs/>
        </w:rPr>
        <w:t xml:space="preserve">Heads of School/Director of Professional Service shall be responsible for monitoring their department’s compliance with the university Information Security Incident Management Policy. </w:t>
      </w:r>
    </w:p>
    <w:p w14:paraId="1A304D39" w14:textId="77777777" w:rsidR="00AD1F65" w:rsidRPr="006A00D9" w:rsidRDefault="00AD1F65" w:rsidP="00AD1F65">
      <w:pPr>
        <w:pStyle w:val="BodyText"/>
        <w:tabs>
          <w:tab w:val="left" w:pos="798"/>
        </w:tabs>
        <w:ind w:right="-49"/>
        <w:contextualSpacing/>
        <w:rPr>
          <w:sz w:val="22"/>
          <w:szCs w:val="22"/>
        </w:rPr>
      </w:pPr>
    </w:p>
    <w:p w14:paraId="4B394038" w14:textId="77777777" w:rsidR="004D7F14" w:rsidRDefault="004D7F14" w:rsidP="00AD1F65">
      <w:pPr>
        <w:pStyle w:val="Heading1"/>
        <w:numPr>
          <w:ilvl w:val="0"/>
          <w:numId w:val="7"/>
        </w:numPr>
        <w:tabs>
          <w:tab w:val="num" w:pos="360"/>
          <w:tab w:val="left" w:pos="448"/>
          <w:tab w:val="left" w:pos="449"/>
        </w:tabs>
        <w:ind w:left="448" w:right="-49" w:hanging="720"/>
        <w:contextualSpacing/>
        <w:rPr>
          <w:spacing w:val="-4"/>
          <w:sz w:val="22"/>
          <w:szCs w:val="22"/>
        </w:rPr>
      </w:pPr>
      <w:r>
        <w:rPr>
          <w:spacing w:val="-4"/>
          <w:sz w:val="22"/>
          <w:szCs w:val="22"/>
        </w:rPr>
        <w:br w:type="page"/>
      </w:r>
    </w:p>
    <w:p w14:paraId="3729B0FA" w14:textId="3E07C5BA" w:rsidR="00AD1F65" w:rsidRPr="006A00D9" w:rsidRDefault="00AD1F65" w:rsidP="00AD1F65">
      <w:pPr>
        <w:pStyle w:val="Heading1"/>
        <w:numPr>
          <w:ilvl w:val="0"/>
          <w:numId w:val="7"/>
        </w:numPr>
        <w:tabs>
          <w:tab w:val="num" w:pos="360"/>
          <w:tab w:val="left" w:pos="448"/>
          <w:tab w:val="left" w:pos="449"/>
        </w:tabs>
        <w:ind w:left="448" w:right="-49" w:hanging="720"/>
        <w:contextualSpacing/>
        <w:rPr>
          <w:b w:val="0"/>
          <w:bCs w:val="0"/>
        </w:rPr>
      </w:pPr>
      <w:r w:rsidRPr="006A00D9">
        <w:rPr>
          <w:spacing w:val="-4"/>
          <w:sz w:val="22"/>
          <w:szCs w:val="22"/>
        </w:rPr>
        <w:lastRenderedPageBreak/>
        <w:t xml:space="preserve">Related </w:t>
      </w:r>
      <w:r w:rsidRPr="006A00D9">
        <w:t>policies and procedures</w:t>
      </w:r>
    </w:p>
    <w:p w14:paraId="5577405C" w14:textId="77777777" w:rsidR="00AD1F65" w:rsidRPr="006A00D9" w:rsidRDefault="00AD1F65" w:rsidP="00AD1F65">
      <w:pPr>
        <w:pStyle w:val="BodyText"/>
        <w:ind w:right="-49"/>
        <w:contextualSpacing/>
        <w:rPr>
          <w:sz w:val="22"/>
          <w:szCs w:val="22"/>
        </w:rPr>
      </w:pPr>
    </w:p>
    <w:p w14:paraId="5AECE595" w14:textId="042656D1" w:rsidR="00AD1F65" w:rsidRPr="006A00D9" w:rsidRDefault="00AD1F65" w:rsidP="00AD1F65">
      <w:pPr>
        <w:pStyle w:val="BodyText"/>
        <w:ind w:right="-49"/>
        <w:contextualSpacing/>
        <w:rPr>
          <w:sz w:val="22"/>
          <w:szCs w:val="22"/>
        </w:rPr>
      </w:pPr>
      <w:r w:rsidRPr="006A00D9">
        <w:rPr>
          <w:sz w:val="22"/>
          <w:szCs w:val="22"/>
        </w:rPr>
        <w:t>This policy forms part of the Information Security Framework. It should also be read in conjunction with</w:t>
      </w:r>
      <w:r w:rsidRPr="006A00D9">
        <w:rPr>
          <w:b/>
          <w:sz w:val="22"/>
          <w:szCs w:val="22"/>
        </w:rPr>
        <w:t>:</w:t>
      </w:r>
      <w:r w:rsidRPr="006A00D9">
        <w:rPr>
          <w:sz w:val="22"/>
          <w:szCs w:val="22"/>
        </w:rPr>
        <w:t xml:space="preserve"> </w:t>
      </w:r>
    </w:p>
    <w:p w14:paraId="4D306F01" w14:textId="77777777" w:rsidR="00AD1F65" w:rsidRPr="006A00D9" w:rsidRDefault="00AD1F65" w:rsidP="00AD1F65">
      <w:pPr>
        <w:pStyle w:val="BodyText"/>
        <w:ind w:right="-49"/>
        <w:contextualSpacing/>
        <w:rPr>
          <w:sz w:val="22"/>
          <w:szCs w:val="22"/>
        </w:rPr>
      </w:pPr>
    </w:p>
    <w:p w14:paraId="561F4617" w14:textId="77777777" w:rsidR="00AD1F65" w:rsidRPr="004D7F14" w:rsidRDefault="00AD1F65" w:rsidP="00AD1F65">
      <w:pPr>
        <w:pStyle w:val="BodyText"/>
        <w:numPr>
          <w:ilvl w:val="0"/>
          <w:numId w:val="6"/>
        </w:numPr>
        <w:ind w:left="993" w:right="-49" w:hanging="426"/>
        <w:contextualSpacing/>
        <w:rPr>
          <w:sz w:val="22"/>
          <w:szCs w:val="22"/>
        </w:rPr>
      </w:pPr>
      <w:r w:rsidRPr="004D7F14">
        <w:rPr>
          <w:sz w:val="22"/>
          <w:szCs w:val="22"/>
        </w:rPr>
        <w:t>the Information Security Incident Reporting and Management Procedure</w:t>
      </w:r>
    </w:p>
    <w:p w14:paraId="08D0BA33" w14:textId="77777777" w:rsidR="00AD1F65" w:rsidRPr="006A00D9" w:rsidRDefault="00AD1F65" w:rsidP="00AD1F65">
      <w:pPr>
        <w:pStyle w:val="BodyText"/>
        <w:numPr>
          <w:ilvl w:val="0"/>
          <w:numId w:val="6"/>
        </w:numPr>
        <w:ind w:left="993" w:right="-49" w:hanging="426"/>
        <w:contextualSpacing/>
        <w:rPr>
          <w:sz w:val="22"/>
          <w:szCs w:val="22"/>
        </w:rPr>
      </w:pPr>
      <w:r w:rsidRPr="006A00D9">
        <w:rPr>
          <w:sz w:val="22"/>
          <w:szCs w:val="22"/>
        </w:rPr>
        <w:t>the Managing and Reporting Concerns appendix of the Safeguarding Vulnerable Adults and Children Policy</w:t>
      </w:r>
    </w:p>
    <w:p w14:paraId="4A83E1D6" w14:textId="77777777" w:rsidR="00AD1F65" w:rsidRPr="004D7F14" w:rsidRDefault="00AD1F65" w:rsidP="00AD1F65">
      <w:pPr>
        <w:pStyle w:val="BodyText"/>
        <w:numPr>
          <w:ilvl w:val="0"/>
          <w:numId w:val="6"/>
        </w:numPr>
        <w:ind w:left="993" w:right="-49" w:hanging="426"/>
        <w:contextualSpacing/>
        <w:rPr>
          <w:bCs/>
          <w:sz w:val="22"/>
          <w:szCs w:val="22"/>
        </w:rPr>
      </w:pPr>
      <w:r w:rsidRPr="004D7F14">
        <w:rPr>
          <w:bCs/>
          <w:sz w:val="22"/>
          <w:szCs w:val="22"/>
        </w:rPr>
        <w:t>Card Payment Data Security Policy and Procedure</w:t>
      </w:r>
    </w:p>
    <w:p w14:paraId="407BA822" w14:textId="77777777" w:rsidR="00AD1F65" w:rsidRPr="006A00D9" w:rsidRDefault="00AD1F65" w:rsidP="00AD1F65">
      <w:pPr>
        <w:ind w:right="-49"/>
        <w:contextualSpacing/>
      </w:pPr>
    </w:p>
    <w:p w14:paraId="62EDEE93" w14:textId="77777777" w:rsidR="00AD1F65" w:rsidRPr="006A00D9" w:rsidRDefault="00AD1F65" w:rsidP="00AD1F65">
      <w:pPr>
        <w:ind w:right="-49"/>
        <w:contextualSpacing/>
      </w:pPr>
    </w:p>
    <w:p w14:paraId="5CE66F84" w14:textId="77777777" w:rsidR="00AD1F65" w:rsidRPr="006A00D9" w:rsidRDefault="00AD1F65" w:rsidP="00AD1F65">
      <w:pPr>
        <w:ind w:right="-49"/>
        <w:contextualSpacing/>
        <w:rPr>
          <w:rFonts w:eastAsiaTheme="minorHAnsi"/>
          <w:b/>
          <w:lang w:bidi="ar-SA"/>
        </w:rPr>
      </w:pPr>
      <w:r w:rsidRPr="006A00D9">
        <w:rPr>
          <w:b/>
          <w:bCs/>
        </w:rPr>
        <w:t>Version control table</w:t>
      </w:r>
    </w:p>
    <w:p w14:paraId="0F510D4C" w14:textId="77777777" w:rsidR="00AD1F65" w:rsidRPr="006A00D9" w:rsidRDefault="00AD1F65" w:rsidP="00AD1F65">
      <w:pPr>
        <w:ind w:right="-49"/>
        <w:contextualSpacing/>
      </w:pPr>
    </w:p>
    <w:tbl>
      <w:tblPr>
        <w:tblW w:w="8392" w:type="dxa"/>
        <w:tblInd w:w="704" w:type="dxa"/>
        <w:tblCellMar>
          <w:left w:w="0" w:type="dxa"/>
          <w:right w:w="0" w:type="dxa"/>
        </w:tblCellMar>
        <w:tblLook w:val="04A0" w:firstRow="1" w:lastRow="0" w:firstColumn="1" w:lastColumn="0" w:noHBand="0" w:noVBand="1"/>
      </w:tblPr>
      <w:tblGrid>
        <w:gridCol w:w="3260"/>
        <w:gridCol w:w="4253"/>
        <w:gridCol w:w="879"/>
      </w:tblGrid>
      <w:tr w:rsidR="006A00D9" w:rsidRPr="006A00D9" w14:paraId="5FCC0DDE" w14:textId="77777777">
        <w:tc>
          <w:tcPr>
            <w:tcW w:w="3260"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3377D721" w14:textId="77777777" w:rsidR="00AD1F65" w:rsidRPr="006A00D9" w:rsidRDefault="00AD1F65">
            <w:pPr>
              <w:ind w:right="-49"/>
              <w:contextualSpacing/>
            </w:pPr>
            <w:r w:rsidRPr="006A00D9">
              <w:t>Document Name</w:t>
            </w:r>
          </w:p>
        </w:tc>
        <w:tc>
          <w:tcPr>
            <w:tcW w:w="51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4E183" w14:textId="77777777" w:rsidR="00AD1F65" w:rsidRPr="006A00D9" w:rsidRDefault="00AD1F65">
            <w:pPr>
              <w:ind w:right="-49"/>
              <w:contextualSpacing/>
            </w:pPr>
            <w:r w:rsidRPr="006A00D9">
              <w:t>Information Security Incident Management Policy</w:t>
            </w:r>
          </w:p>
        </w:tc>
      </w:tr>
      <w:tr w:rsidR="006A00D9" w:rsidRPr="006A00D9" w14:paraId="1A985294"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323CEF17" w14:textId="77777777" w:rsidR="00AD1F65" w:rsidRPr="006A00D9" w:rsidRDefault="00AD1F65">
            <w:pPr>
              <w:ind w:right="-49"/>
              <w:contextualSpacing/>
            </w:pPr>
            <w:r w:rsidRPr="006A00D9">
              <w:t>UEB Policy Sponsor</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AD1F58" w14:textId="77777777" w:rsidR="00AD1F65" w:rsidRPr="006A00D9" w:rsidRDefault="00AD1F65">
            <w:pPr>
              <w:ind w:right="-49"/>
              <w:contextualSpacing/>
            </w:pPr>
            <w:r w:rsidRPr="006A00D9">
              <w:t>Senior Information Risk Owner – University Secretary and General Counsel</w:t>
            </w:r>
          </w:p>
        </w:tc>
      </w:tr>
      <w:tr w:rsidR="006A00D9" w:rsidRPr="006A00D9" w14:paraId="57B99341"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0A4C8E9" w14:textId="77777777" w:rsidR="00AD1F65" w:rsidRPr="006A00D9" w:rsidRDefault="00AD1F65">
            <w:pPr>
              <w:ind w:right="-49"/>
              <w:contextualSpacing/>
            </w:pPr>
            <w:r w:rsidRPr="006A00D9">
              <w:t>Policy Owner</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BC87FC" w14:textId="77777777" w:rsidR="00AD1F65" w:rsidRPr="006A00D9" w:rsidRDefault="00AD1F65">
            <w:pPr>
              <w:ind w:right="-49"/>
              <w:contextualSpacing/>
            </w:pPr>
            <w:r w:rsidRPr="006A00D9">
              <w:t>Senior Compliance Advisor &amp; Data Protection Officer, University Secretary’s Office</w:t>
            </w:r>
          </w:p>
        </w:tc>
      </w:tr>
      <w:tr w:rsidR="006A00D9" w:rsidRPr="006A00D9" w14:paraId="63E3845A"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553141C" w14:textId="77777777" w:rsidR="00AD1F65" w:rsidRPr="006A00D9" w:rsidRDefault="00AD1F65">
            <w:pPr>
              <w:ind w:right="-49"/>
              <w:contextualSpacing/>
            </w:pPr>
            <w:r w:rsidRPr="006A00D9">
              <w:t>Policy Author(s)</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373470" w14:textId="77777777" w:rsidR="00AD1F65" w:rsidRPr="006A00D9" w:rsidRDefault="00AD1F65">
            <w:pPr>
              <w:ind w:right="-49"/>
              <w:contextualSpacing/>
            </w:pPr>
            <w:r w:rsidRPr="006A00D9">
              <w:t>Senior Compliance Advisor &amp; Data Protection Officer, University Secretary’s Office</w:t>
            </w:r>
          </w:p>
        </w:tc>
      </w:tr>
      <w:tr w:rsidR="006A00D9" w:rsidRPr="006A00D9" w14:paraId="60583E5B"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A595E78" w14:textId="77777777" w:rsidR="00AD1F65" w:rsidRPr="006A00D9" w:rsidRDefault="00AD1F65">
            <w:pPr>
              <w:ind w:right="-49"/>
              <w:contextualSpacing/>
            </w:pPr>
            <w:r w:rsidRPr="006A00D9">
              <w:t>Version Number</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89D90A" w14:textId="77777777" w:rsidR="00AD1F65" w:rsidRPr="006A00D9" w:rsidRDefault="00AD1F65">
            <w:pPr>
              <w:ind w:right="-49"/>
              <w:contextualSpacing/>
            </w:pPr>
            <w:r w:rsidRPr="006A00D9">
              <w:t>1.1</w:t>
            </w:r>
          </w:p>
        </w:tc>
      </w:tr>
      <w:tr w:rsidR="006A00D9" w:rsidRPr="006A00D9" w14:paraId="23D748B6"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345D0E36" w14:textId="77777777" w:rsidR="00AD1F65" w:rsidRPr="006A00D9" w:rsidRDefault="00AD1F65">
            <w:pPr>
              <w:ind w:right="-49"/>
              <w:contextualSpacing/>
            </w:pPr>
            <w:r w:rsidRPr="006A00D9">
              <w:t>Equality Impact Outcome and Form Submission Date</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14:paraId="70F70FB2" w14:textId="77777777" w:rsidR="00AD1F65" w:rsidRPr="006A00D9" w:rsidRDefault="00AD1F65">
            <w:pPr>
              <w:ind w:right="-49"/>
              <w:contextualSpacing/>
            </w:pPr>
          </w:p>
        </w:tc>
        <w:tc>
          <w:tcPr>
            <w:tcW w:w="879" w:type="dxa"/>
            <w:tcBorders>
              <w:top w:val="nil"/>
              <w:left w:val="nil"/>
              <w:bottom w:val="single" w:sz="8" w:space="0" w:color="auto"/>
              <w:right w:val="single" w:sz="8" w:space="0" w:color="auto"/>
            </w:tcBorders>
            <w:tcMar>
              <w:top w:w="0" w:type="dxa"/>
              <w:left w:w="108" w:type="dxa"/>
              <w:bottom w:w="0" w:type="dxa"/>
              <w:right w:w="108" w:type="dxa"/>
            </w:tcMar>
          </w:tcPr>
          <w:p w14:paraId="512216F3" w14:textId="77777777" w:rsidR="00AD1F65" w:rsidRPr="006A00D9" w:rsidRDefault="00AD1F65">
            <w:pPr>
              <w:ind w:right="-49"/>
              <w:contextualSpacing/>
            </w:pPr>
          </w:p>
        </w:tc>
      </w:tr>
      <w:tr w:rsidR="006A00D9" w:rsidRPr="006A00D9" w14:paraId="3DFE8808"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50D3F31" w14:textId="77777777" w:rsidR="00AD1F65" w:rsidRPr="006A00D9" w:rsidRDefault="00AD1F65">
            <w:pPr>
              <w:ind w:right="-49"/>
              <w:contextualSpacing/>
            </w:pPr>
            <w:r w:rsidRPr="006A00D9">
              <w:t>Approval Date</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3E02CF" w14:textId="62622BF9" w:rsidR="00AD1F65" w:rsidRPr="006A00D9" w:rsidRDefault="0064337F">
            <w:pPr>
              <w:ind w:right="-49"/>
              <w:contextualSpacing/>
            </w:pPr>
            <w:r>
              <w:t>June 2023</w:t>
            </w:r>
          </w:p>
        </w:tc>
      </w:tr>
      <w:tr w:rsidR="006A00D9" w:rsidRPr="006A00D9" w14:paraId="2248EAC5"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8B563A9" w14:textId="77777777" w:rsidR="00AD1F65" w:rsidRPr="006A00D9" w:rsidRDefault="00AD1F65">
            <w:pPr>
              <w:ind w:right="-49"/>
              <w:contextualSpacing/>
            </w:pPr>
            <w:r w:rsidRPr="006A00D9">
              <w:t>Approved By</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BD328C" w14:textId="03E8D324" w:rsidR="00AD1F65" w:rsidRPr="006A00D9" w:rsidRDefault="006E1D6D">
            <w:pPr>
              <w:ind w:right="-49"/>
              <w:contextualSpacing/>
            </w:pPr>
            <w:r>
              <w:t>Senior Information Risk Owner</w:t>
            </w:r>
          </w:p>
        </w:tc>
      </w:tr>
      <w:tr w:rsidR="006A00D9" w:rsidRPr="006A00D9" w14:paraId="6CD3B728"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2634D19" w14:textId="77777777" w:rsidR="00AD1F65" w:rsidRPr="006A00D9" w:rsidRDefault="00AD1F65">
            <w:pPr>
              <w:ind w:right="-49"/>
              <w:contextualSpacing/>
            </w:pPr>
            <w:r w:rsidRPr="006A00D9">
              <w:t>Date of Implementation</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91A781" w14:textId="3B8DD312" w:rsidR="00AD1F65" w:rsidRPr="00B363F3" w:rsidRDefault="00B363F3">
            <w:pPr>
              <w:ind w:right="-49"/>
              <w:contextualSpacing/>
            </w:pPr>
            <w:r w:rsidRPr="00B363F3">
              <w:t>July 2023</w:t>
            </w:r>
          </w:p>
        </w:tc>
      </w:tr>
      <w:tr w:rsidR="006A00D9" w:rsidRPr="006A00D9" w14:paraId="67578E82"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1267BAF" w14:textId="77777777" w:rsidR="00AD1F65" w:rsidRPr="006A00D9" w:rsidRDefault="00AD1F65">
            <w:pPr>
              <w:ind w:right="-49"/>
              <w:contextualSpacing/>
            </w:pPr>
            <w:r w:rsidRPr="006A00D9">
              <w:t>Date of Last Review</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63AFAF" w14:textId="77777777" w:rsidR="00AD1F65" w:rsidRPr="00B363F3" w:rsidRDefault="00AD1F65">
            <w:pPr>
              <w:ind w:right="-49"/>
              <w:contextualSpacing/>
            </w:pPr>
            <w:r w:rsidRPr="00B363F3">
              <w:t>April 2018</w:t>
            </w:r>
          </w:p>
        </w:tc>
      </w:tr>
      <w:tr w:rsidR="006A00D9" w:rsidRPr="006A00D9" w14:paraId="5A2C5AFD" w14:textId="77777777">
        <w:tc>
          <w:tcPr>
            <w:tcW w:w="326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5030B70" w14:textId="77777777" w:rsidR="00AD1F65" w:rsidRPr="006A00D9" w:rsidRDefault="00AD1F65">
            <w:pPr>
              <w:ind w:right="-49"/>
              <w:contextualSpacing/>
            </w:pPr>
            <w:r w:rsidRPr="006A00D9">
              <w:t>Date for Next Review</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DA84FC" w14:textId="1D145C05" w:rsidR="00AD1F65" w:rsidRPr="00B363F3" w:rsidRDefault="00B363F3">
            <w:pPr>
              <w:ind w:right="-49"/>
              <w:contextualSpacing/>
            </w:pPr>
            <w:r w:rsidRPr="00B363F3">
              <w:t>July 2024</w:t>
            </w:r>
          </w:p>
        </w:tc>
      </w:tr>
      <w:tr w:rsidR="00AD1F65" w:rsidRPr="006A00D9" w14:paraId="0A86C38B" w14:textId="77777777">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B7287" w14:textId="77777777" w:rsidR="00AD1F65" w:rsidRPr="006A00D9" w:rsidRDefault="00AD1F65">
            <w:pPr>
              <w:ind w:right="-49"/>
              <w:contextualSpacing/>
            </w:pPr>
            <w:r w:rsidRPr="006A00D9">
              <w:t>For Office Use – Keywords for search function</w:t>
            </w:r>
          </w:p>
        </w:tc>
        <w:tc>
          <w:tcPr>
            <w:tcW w:w="5132" w:type="dxa"/>
            <w:gridSpan w:val="2"/>
            <w:tcBorders>
              <w:top w:val="nil"/>
              <w:left w:val="nil"/>
              <w:bottom w:val="single" w:sz="8" w:space="0" w:color="auto"/>
              <w:right w:val="single" w:sz="8" w:space="0" w:color="auto"/>
            </w:tcBorders>
            <w:tcMar>
              <w:top w:w="0" w:type="dxa"/>
              <w:left w:w="108" w:type="dxa"/>
              <w:bottom w:w="0" w:type="dxa"/>
              <w:right w:w="108" w:type="dxa"/>
            </w:tcMar>
          </w:tcPr>
          <w:p w14:paraId="36558973" w14:textId="77777777" w:rsidR="00AD1F65" w:rsidRPr="006A00D9" w:rsidRDefault="00AD1F65">
            <w:pPr>
              <w:ind w:right="-49"/>
              <w:contextualSpacing/>
            </w:pPr>
          </w:p>
        </w:tc>
      </w:tr>
    </w:tbl>
    <w:p w14:paraId="537162AC" w14:textId="77777777" w:rsidR="00C66C54" w:rsidRPr="006A00D9" w:rsidRDefault="00C66C54"/>
    <w:sectPr w:rsidR="00C66C54" w:rsidRPr="006A00D9" w:rsidSect="004D7F14">
      <w:headerReference w:type="default" r:id="rId12"/>
      <w:pgSz w:w="11910" w:h="16840"/>
      <w:pgMar w:top="1400" w:right="98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5B8F" w14:textId="77777777" w:rsidR="007D3CE4" w:rsidRDefault="007D3CE4" w:rsidP="00D90875">
      <w:r>
        <w:separator/>
      </w:r>
    </w:p>
  </w:endnote>
  <w:endnote w:type="continuationSeparator" w:id="0">
    <w:p w14:paraId="00A0C60F" w14:textId="77777777" w:rsidR="007D3CE4" w:rsidRDefault="007D3CE4" w:rsidP="00D9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8206" w14:textId="77777777" w:rsidR="007D3CE4" w:rsidRDefault="007D3CE4" w:rsidP="00D90875">
      <w:r>
        <w:separator/>
      </w:r>
    </w:p>
  </w:footnote>
  <w:footnote w:type="continuationSeparator" w:id="0">
    <w:p w14:paraId="0813A9F5" w14:textId="77777777" w:rsidR="007D3CE4" w:rsidRDefault="007D3CE4" w:rsidP="00D9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BB7A" w14:textId="6B7FC1AC" w:rsidR="00FE5DE4" w:rsidRDefault="00FE5DE4" w:rsidP="00FE5D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0D5"/>
    <w:multiLevelType w:val="multilevel"/>
    <w:tmpl w:val="BD9EF874"/>
    <w:lvl w:ilvl="0">
      <w:start w:val="2"/>
      <w:numFmt w:val="decimal"/>
      <w:lvlText w:val="%1"/>
      <w:lvlJc w:val="left"/>
      <w:pPr>
        <w:ind w:left="448" w:hanging="348"/>
      </w:pPr>
      <w:rPr>
        <w:rFonts w:ascii="Arial" w:eastAsia="Arial" w:hAnsi="Arial" w:cs="Arial" w:hint="default"/>
        <w:b/>
        <w:bCs/>
        <w:color w:val="383735"/>
        <w:w w:val="100"/>
        <w:sz w:val="21"/>
        <w:szCs w:val="21"/>
      </w:rPr>
    </w:lvl>
    <w:lvl w:ilvl="1">
      <w:start w:val="1"/>
      <w:numFmt w:val="decimal"/>
      <w:lvlText w:val="%1.%2"/>
      <w:lvlJc w:val="left"/>
      <w:pPr>
        <w:ind w:left="100" w:hanging="641"/>
      </w:pPr>
      <w:rPr>
        <w:rFonts w:ascii="Arial" w:eastAsia="Arial" w:hAnsi="Arial" w:cs="Arial" w:hint="default"/>
        <w:color w:val="383735"/>
        <w:spacing w:val="-1"/>
        <w:w w:val="100"/>
        <w:sz w:val="21"/>
        <w:szCs w:val="21"/>
      </w:rPr>
    </w:lvl>
    <w:lvl w:ilvl="2">
      <w:numFmt w:val="bullet"/>
      <w:lvlText w:val="•"/>
      <w:lvlJc w:val="left"/>
      <w:pPr>
        <w:ind w:left="1456" w:hanging="641"/>
      </w:pPr>
      <w:rPr>
        <w:rFonts w:hint="default"/>
      </w:rPr>
    </w:lvl>
    <w:lvl w:ilvl="3">
      <w:numFmt w:val="bullet"/>
      <w:lvlText w:val="•"/>
      <w:lvlJc w:val="left"/>
      <w:pPr>
        <w:ind w:left="2472" w:hanging="641"/>
      </w:pPr>
      <w:rPr>
        <w:rFonts w:hint="default"/>
      </w:rPr>
    </w:lvl>
    <w:lvl w:ilvl="4">
      <w:numFmt w:val="bullet"/>
      <w:lvlText w:val="•"/>
      <w:lvlJc w:val="left"/>
      <w:pPr>
        <w:ind w:left="3488" w:hanging="641"/>
      </w:pPr>
      <w:rPr>
        <w:rFonts w:hint="default"/>
      </w:rPr>
    </w:lvl>
    <w:lvl w:ilvl="5">
      <w:numFmt w:val="bullet"/>
      <w:lvlText w:val="•"/>
      <w:lvlJc w:val="left"/>
      <w:pPr>
        <w:ind w:left="4505" w:hanging="641"/>
      </w:pPr>
      <w:rPr>
        <w:rFonts w:hint="default"/>
      </w:rPr>
    </w:lvl>
    <w:lvl w:ilvl="6">
      <w:numFmt w:val="bullet"/>
      <w:lvlText w:val="•"/>
      <w:lvlJc w:val="left"/>
      <w:pPr>
        <w:ind w:left="5521" w:hanging="641"/>
      </w:pPr>
      <w:rPr>
        <w:rFonts w:hint="default"/>
      </w:rPr>
    </w:lvl>
    <w:lvl w:ilvl="7">
      <w:numFmt w:val="bullet"/>
      <w:lvlText w:val="•"/>
      <w:lvlJc w:val="left"/>
      <w:pPr>
        <w:ind w:left="6537" w:hanging="641"/>
      </w:pPr>
      <w:rPr>
        <w:rFonts w:hint="default"/>
      </w:rPr>
    </w:lvl>
    <w:lvl w:ilvl="8">
      <w:numFmt w:val="bullet"/>
      <w:lvlText w:val="•"/>
      <w:lvlJc w:val="left"/>
      <w:pPr>
        <w:ind w:left="7553" w:hanging="641"/>
      </w:pPr>
      <w:rPr>
        <w:rFonts w:hint="default"/>
      </w:rPr>
    </w:lvl>
  </w:abstractNum>
  <w:abstractNum w:abstractNumId="1" w15:restartNumberingAfterBreak="0">
    <w:nsid w:val="0DB63543"/>
    <w:multiLevelType w:val="hybridMultilevel"/>
    <w:tmpl w:val="1A161B4A"/>
    <w:lvl w:ilvl="0" w:tplc="08090001">
      <w:start w:val="1"/>
      <w:numFmt w:val="bullet"/>
      <w:lvlText w:val=""/>
      <w:lvlJc w:val="left"/>
      <w:pPr>
        <w:ind w:left="1529" w:hanging="360"/>
      </w:pPr>
      <w:rPr>
        <w:rFonts w:ascii="Symbol" w:hAnsi="Symbol" w:hint="default"/>
      </w:rPr>
    </w:lvl>
    <w:lvl w:ilvl="1" w:tplc="08090003" w:tentative="1">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2" w15:restartNumberingAfterBreak="0">
    <w:nsid w:val="249A5DC6"/>
    <w:multiLevelType w:val="hybridMultilevel"/>
    <w:tmpl w:val="60C0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E5442"/>
    <w:multiLevelType w:val="hybridMultilevel"/>
    <w:tmpl w:val="6B38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C09A8"/>
    <w:multiLevelType w:val="hybridMultilevel"/>
    <w:tmpl w:val="37C625BA"/>
    <w:lvl w:ilvl="0" w:tplc="99E67F8E">
      <w:start w:val="1"/>
      <w:numFmt w:val="lowerLetter"/>
      <w:lvlText w:val="%1)"/>
      <w:lvlJc w:val="left"/>
      <w:pPr>
        <w:ind w:left="1256" w:hanging="536"/>
      </w:pPr>
      <w:rPr>
        <w:rFonts w:ascii="Arial" w:eastAsia="Arial" w:hAnsi="Arial" w:cs="Arial" w:hint="default"/>
        <w:b w:val="0"/>
        <w:bCs/>
        <w:color w:val="383735"/>
        <w:w w:val="100"/>
        <w:sz w:val="21"/>
        <w:szCs w:val="21"/>
        <w:lang w:val="en-GB" w:eastAsia="en-GB" w:bidi="en-GB"/>
      </w:rPr>
    </w:lvl>
    <w:lvl w:ilvl="1" w:tplc="01AC750A">
      <w:numFmt w:val="bullet"/>
      <w:lvlText w:val="•"/>
      <w:lvlJc w:val="left"/>
      <w:pPr>
        <w:ind w:left="2155" w:hanging="536"/>
      </w:pPr>
      <w:rPr>
        <w:rFonts w:hint="default"/>
        <w:lang w:val="en-GB" w:eastAsia="en-GB" w:bidi="en-GB"/>
      </w:rPr>
    </w:lvl>
    <w:lvl w:ilvl="2" w:tplc="916EB934">
      <w:numFmt w:val="bullet"/>
      <w:lvlText w:val="•"/>
      <w:lvlJc w:val="left"/>
      <w:pPr>
        <w:ind w:left="3050" w:hanging="536"/>
      </w:pPr>
      <w:rPr>
        <w:rFonts w:hint="default"/>
        <w:lang w:val="en-GB" w:eastAsia="en-GB" w:bidi="en-GB"/>
      </w:rPr>
    </w:lvl>
    <w:lvl w:ilvl="3" w:tplc="7CF8ADF4">
      <w:numFmt w:val="bullet"/>
      <w:lvlText w:val="•"/>
      <w:lvlJc w:val="left"/>
      <w:pPr>
        <w:ind w:left="3944" w:hanging="536"/>
      </w:pPr>
      <w:rPr>
        <w:rFonts w:hint="default"/>
        <w:lang w:val="en-GB" w:eastAsia="en-GB" w:bidi="en-GB"/>
      </w:rPr>
    </w:lvl>
    <w:lvl w:ilvl="4" w:tplc="E9DAEF3E">
      <w:numFmt w:val="bullet"/>
      <w:lvlText w:val="•"/>
      <w:lvlJc w:val="left"/>
      <w:pPr>
        <w:ind w:left="4839" w:hanging="536"/>
      </w:pPr>
      <w:rPr>
        <w:rFonts w:hint="default"/>
        <w:lang w:val="en-GB" w:eastAsia="en-GB" w:bidi="en-GB"/>
      </w:rPr>
    </w:lvl>
    <w:lvl w:ilvl="5" w:tplc="D6D6650C">
      <w:numFmt w:val="bullet"/>
      <w:lvlText w:val="•"/>
      <w:lvlJc w:val="left"/>
      <w:pPr>
        <w:ind w:left="5734" w:hanging="536"/>
      </w:pPr>
      <w:rPr>
        <w:rFonts w:hint="default"/>
        <w:lang w:val="en-GB" w:eastAsia="en-GB" w:bidi="en-GB"/>
      </w:rPr>
    </w:lvl>
    <w:lvl w:ilvl="6" w:tplc="1D56DC10">
      <w:numFmt w:val="bullet"/>
      <w:lvlText w:val="•"/>
      <w:lvlJc w:val="left"/>
      <w:pPr>
        <w:ind w:left="6628" w:hanging="536"/>
      </w:pPr>
      <w:rPr>
        <w:rFonts w:hint="default"/>
        <w:lang w:val="en-GB" w:eastAsia="en-GB" w:bidi="en-GB"/>
      </w:rPr>
    </w:lvl>
    <w:lvl w:ilvl="7" w:tplc="04A4796A">
      <w:numFmt w:val="bullet"/>
      <w:lvlText w:val="•"/>
      <w:lvlJc w:val="left"/>
      <w:pPr>
        <w:ind w:left="7523" w:hanging="536"/>
      </w:pPr>
      <w:rPr>
        <w:rFonts w:hint="default"/>
        <w:lang w:val="en-GB" w:eastAsia="en-GB" w:bidi="en-GB"/>
      </w:rPr>
    </w:lvl>
    <w:lvl w:ilvl="8" w:tplc="3448337A">
      <w:numFmt w:val="bullet"/>
      <w:lvlText w:val="•"/>
      <w:lvlJc w:val="left"/>
      <w:pPr>
        <w:ind w:left="8418" w:hanging="536"/>
      </w:pPr>
      <w:rPr>
        <w:rFonts w:hint="default"/>
        <w:lang w:val="en-GB" w:eastAsia="en-GB" w:bidi="en-GB"/>
      </w:rPr>
    </w:lvl>
  </w:abstractNum>
  <w:abstractNum w:abstractNumId="5" w15:restartNumberingAfterBreak="0">
    <w:nsid w:val="43CE7E54"/>
    <w:multiLevelType w:val="hybridMultilevel"/>
    <w:tmpl w:val="07BE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A5594"/>
    <w:multiLevelType w:val="hybridMultilevel"/>
    <w:tmpl w:val="B11C1F52"/>
    <w:lvl w:ilvl="0" w:tplc="322412F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12D0A"/>
    <w:multiLevelType w:val="hybridMultilevel"/>
    <w:tmpl w:val="AC327F36"/>
    <w:lvl w:ilvl="0" w:tplc="DBC47C4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7C701E5"/>
    <w:multiLevelType w:val="multilevel"/>
    <w:tmpl w:val="A552CDDE"/>
    <w:lvl w:ilvl="0">
      <w:start w:val="1"/>
      <w:numFmt w:val="decimal"/>
      <w:lvlText w:val="%1"/>
      <w:lvlJc w:val="left"/>
      <w:pPr>
        <w:ind w:left="448" w:hanging="348"/>
      </w:pPr>
      <w:rPr>
        <w:rFonts w:ascii="Arial" w:eastAsia="Arial" w:hAnsi="Arial" w:cs="Arial" w:hint="default"/>
        <w:b/>
        <w:bCs/>
        <w:color w:val="383735"/>
        <w:w w:val="100"/>
        <w:sz w:val="21"/>
        <w:szCs w:val="21"/>
        <w:lang w:val="en-GB" w:eastAsia="en-GB" w:bidi="en-GB"/>
      </w:rPr>
    </w:lvl>
    <w:lvl w:ilvl="1">
      <w:start w:val="1"/>
      <w:numFmt w:val="decimal"/>
      <w:lvlText w:val="%1.%2"/>
      <w:lvlJc w:val="left"/>
      <w:pPr>
        <w:ind w:left="100" w:hanging="641"/>
      </w:pPr>
      <w:rPr>
        <w:rFonts w:ascii="Arial" w:eastAsia="Arial" w:hAnsi="Arial" w:cs="Arial" w:hint="default"/>
        <w:color w:val="383735"/>
        <w:spacing w:val="-1"/>
        <w:w w:val="100"/>
        <w:sz w:val="21"/>
        <w:szCs w:val="21"/>
        <w:lang w:val="en-GB" w:eastAsia="en-GB" w:bidi="en-GB"/>
      </w:rPr>
    </w:lvl>
    <w:lvl w:ilvl="2">
      <w:numFmt w:val="bullet"/>
      <w:lvlText w:val="•"/>
      <w:lvlJc w:val="left"/>
      <w:pPr>
        <w:ind w:left="1456" w:hanging="641"/>
      </w:pPr>
      <w:rPr>
        <w:rFonts w:hint="default"/>
        <w:lang w:val="en-GB" w:eastAsia="en-GB" w:bidi="en-GB"/>
      </w:rPr>
    </w:lvl>
    <w:lvl w:ilvl="3">
      <w:numFmt w:val="bullet"/>
      <w:lvlText w:val="•"/>
      <w:lvlJc w:val="left"/>
      <w:pPr>
        <w:ind w:left="2472" w:hanging="641"/>
      </w:pPr>
      <w:rPr>
        <w:rFonts w:hint="default"/>
        <w:lang w:val="en-GB" w:eastAsia="en-GB" w:bidi="en-GB"/>
      </w:rPr>
    </w:lvl>
    <w:lvl w:ilvl="4">
      <w:numFmt w:val="bullet"/>
      <w:lvlText w:val="•"/>
      <w:lvlJc w:val="left"/>
      <w:pPr>
        <w:ind w:left="3488" w:hanging="641"/>
      </w:pPr>
      <w:rPr>
        <w:rFonts w:hint="default"/>
        <w:lang w:val="en-GB" w:eastAsia="en-GB" w:bidi="en-GB"/>
      </w:rPr>
    </w:lvl>
    <w:lvl w:ilvl="5">
      <w:numFmt w:val="bullet"/>
      <w:lvlText w:val="•"/>
      <w:lvlJc w:val="left"/>
      <w:pPr>
        <w:ind w:left="4505" w:hanging="641"/>
      </w:pPr>
      <w:rPr>
        <w:rFonts w:hint="default"/>
        <w:lang w:val="en-GB" w:eastAsia="en-GB" w:bidi="en-GB"/>
      </w:rPr>
    </w:lvl>
    <w:lvl w:ilvl="6">
      <w:numFmt w:val="bullet"/>
      <w:lvlText w:val="•"/>
      <w:lvlJc w:val="left"/>
      <w:pPr>
        <w:ind w:left="5521" w:hanging="641"/>
      </w:pPr>
      <w:rPr>
        <w:rFonts w:hint="default"/>
        <w:lang w:val="en-GB" w:eastAsia="en-GB" w:bidi="en-GB"/>
      </w:rPr>
    </w:lvl>
    <w:lvl w:ilvl="7">
      <w:numFmt w:val="bullet"/>
      <w:lvlText w:val="•"/>
      <w:lvlJc w:val="left"/>
      <w:pPr>
        <w:ind w:left="6537" w:hanging="641"/>
      </w:pPr>
      <w:rPr>
        <w:rFonts w:hint="default"/>
        <w:lang w:val="en-GB" w:eastAsia="en-GB" w:bidi="en-GB"/>
      </w:rPr>
    </w:lvl>
    <w:lvl w:ilvl="8">
      <w:numFmt w:val="bullet"/>
      <w:lvlText w:val="•"/>
      <w:lvlJc w:val="left"/>
      <w:pPr>
        <w:ind w:left="7553" w:hanging="641"/>
      </w:pPr>
      <w:rPr>
        <w:rFonts w:hint="default"/>
        <w:lang w:val="en-GB" w:eastAsia="en-GB" w:bidi="en-GB"/>
      </w:rPr>
    </w:lvl>
  </w:abstractNum>
  <w:abstractNum w:abstractNumId="9" w15:restartNumberingAfterBreak="0">
    <w:nsid w:val="689612ED"/>
    <w:multiLevelType w:val="hybridMultilevel"/>
    <w:tmpl w:val="8734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942753">
    <w:abstractNumId w:val="2"/>
  </w:num>
  <w:num w:numId="2" w16cid:durableId="789129534">
    <w:abstractNumId w:val="5"/>
  </w:num>
  <w:num w:numId="3" w16cid:durableId="1596278525">
    <w:abstractNumId w:val="3"/>
  </w:num>
  <w:num w:numId="4" w16cid:durableId="389035412">
    <w:abstractNumId w:val="4"/>
  </w:num>
  <w:num w:numId="5" w16cid:durableId="549732903">
    <w:abstractNumId w:val="8"/>
  </w:num>
  <w:num w:numId="6" w16cid:durableId="228852474">
    <w:abstractNumId w:val="1"/>
  </w:num>
  <w:num w:numId="7" w16cid:durableId="1672682896">
    <w:abstractNumId w:val="6"/>
  </w:num>
  <w:num w:numId="8" w16cid:durableId="1106578424">
    <w:abstractNumId w:val="0"/>
  </w:num>
  <w:num w:numId="9" w16cid:durableId="639456851">
    <w:abstractNumId w:val="9"/>
  </w:num>
  <w:num w:numId="10" w16cid:durableId="551234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65"/>
    <w:rsid w:val="000C688A"/>
    <w:rsid w:val="0010093B"/>
    <w:rsid w:val="002970AB"/>
    <w:rsid w:val="00370599"/>
    <w:rsid w:val="0038784D"/>
    <w:rsid w:val="003B0596"/>
    <w:rsid w:val="0041440A"/>
    <w:rsid w:val="004216A1"/>
    <w:rsid w:val="004A201A"/>
    <w:rsid w:val="004C7BC1"/>
    <w:rsid w:val="004D7F14"/>
    <w:rsid w:val="005613CC"/>
    <w:rsid w:val="005939D9"/>
    <w:rsid w:val="0064337F"/>
    <w:rsid w:val="00690D37"/>
    <w:rsid w:val="006A00D9"/>
    <w:rsid w:val="006E1D6D"/>
    <w:rsid w:val="00712268"/>
    <w:rsid w:val="007D3071"/>
    <w:rsid w:val="007D3CE4"/>
    <w:rsid w:val="007F73B3"/>
    <w:rsid w:val="00837DE0"/>
    <w:rsid w:val="009128AC"/>
    <w:rsid w:val="009E063D"/>
    <w:rsid w:val="00AD1F65"/>
    <w:rsid w:val="00B2552B"/>
    <w:rsid w:val="00B363F3"/>
    <w:rsid w:val="00B76268"/>
    <w:rsid w:val="00BD7593"/>
    <w:rsid w:val="00C06763"/>
    <w:rsid w:val="00C66C54"/>
    <w:rsid w:val="00C76765"/>
    <w:rsid w:val="00C87178"/>
    <w:rsid w:val="00D259C2"/>
    <w:rsid w:val="00D34CB0"/>
    <w:rsid w:val="00D90875"/>
    <w:rsid w:val="00F33C65"/>
    <w:rsid w:val="00F720F6"/>
    <w:rsid w:val="00FE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B7BC"/>
  <w15:chartTrackingRefBased/>
  <w15:docId w15:val="{63789F8B-25B8-47A3-B690-E58A7FE7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65"/>
    <w:pPr>
      <w:widowControl w:val="0"/>
      <w:autoSpaceDE w:val="0"/>
      <w:autoSpaceDN w:val="0"/>
      <w:spacing w:after="0" w:line="240" w:lineRule="auto"/>
    </w:pPr>
    <w:rPr>
      <w:rFonts w:ascii="Arial" w:eastAsia="Arial" w:hAnsi="Arial" w:cs="Arial"/>
      <w:kern w:val="0"/>
      <w:lang w:eastAsia="en-GB" w:bidi="en-GB"/>
      <w14:ligatures w14:val="none"/>
    </w:rPr>
  </w:style>
  <w:style w:type="paragraph" w:styleId="Heading1">
    <w:name w:val="heading 1"/>
    <w:basedOn w:val="Normal"/>
    <w:link w:val="Heading1Char"/>
    <w:uiPriority w:val="9"/>
    <w:qFormat/>
    <w:rsid w:val="00AD1F65"/>
    <w:pPr>
      <w:ind w:left="448" w:hanging="34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F65"/>
    <w:rPr>
      <w:rFonts w:ascii="Arial" w:eastAsia="Arial" w:hAnsi="Arial" w:cs="Arial"/>
      <w:b/>
      <w:bCs/>
      <w:kern w:val="0"/>
      <w:sz w:val="21"/>
      <w:szCs w:val="21"/>
      <w:lang w:eastAsia="en-GB" w:bidi="en-GB"/>
      <w14:ligatures w14:val="none"/>
    </w:rPr>
  </w:style>
  <w:style w:type="paragraph" w:styleId="BodyText">
    <w:name w:val="Body Text"/>
    <w:basedOn w:val="Normal"/>
    <w:link w:val="BodyTextChar"/>
    <w:uiPriority w:val="1"/>
    <w:qFormat/>
    <w:rsid w:val="00AD1F65"/>
    <w:rPr>
      <w:sz w:val="21"/>
      <w:szCs w:val="21"/>
    </w:rPr>
  </w:style>
  <w:style w:type="character" w:customStyle="1" w:styleId="BodyTextChar">
    <w:name w:val="Body Text Char"/>
    <w:basedOn w:val="DefaultParagraphFont"/>
    <w:link w:val="BodyText"/>
    <w:uiPriority w:val="1"/>
    <w:rsid w:val="00AD1F65"/>
    <w:rPr>
      <w:rFonts w:ascii="Arial" w:eastAsia="Arial" w:hAnsi="Arial" w:cs="Arial"/>
      <w:kern w:val="0"/>
      <w:sz w:val="21"/>
      <w:szCs w:val="21"/>
      <w:lang w:eastAsia="en-GB" w:bidi="en-GB"/>
      <w14:ligatures w14:val="none"/>
    </w:rPr>
  </w:style>
  <w:style w:type="paragraph" w:styleId="ListParagraph">
    <w:name w:val="List Paragraph"/>
    <w:basedOn w:val="Normal"/>
    <w:uiPriority w:val="34"/>
    <w:qFormat/>
    <w:rsid w:val="00AD1F65"/>
    <w:pPr>
      <w:ind w:left="100"/>
    </w:pPr>
  </w:style>
  <w:style w:type="paragraph" w:styleId="Header">
    <w:name w:val="header"/>
    <w:basedOn w:val="Normal"/>
    <w:link w:val="HeaderChar"/>
    <w:uiPriority w:val="99"/>
    <w:unhideWhenUsed/>
    <w:rsid w:val="00AD1F65"/>
    <w:pPr>
      <w:widowControl/>
      <w:tabs>
        <w:tab w:val="center" w:pos="4513"/>
        <w:tab w:val="right" w:pos="9026"/>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AD1F65"/>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AD1F6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40A"/>
    <w:rPr>
      <w:color w:val="0000FF"/>
      <w:u w:val="single"/>
    </w:rPr>
  </w:style>
  <w:style w:type="paragraph" w:styleId="Footer">
    <w:name w:val="footer"/>
    <w:basedOn w:val="Normal"/>
    <w:link w:val="FooterChar"/>
    <w:uiPriority w:val="99"/>
    <w:unhideWhenUsed/>
    <w:rsid w:val="00D90875"/>
    <w:pPr>
      <w:tabs>
        <w:tab w:val="center" w:pos="4513"/>
        <w:tab w:val="right" w:pos="9026"/>
      </w:tabs>
    </w:pPr>
  </w:style>
  <w:style w:type="character" w:customStyle="1" w:styleId="FooterChar">
    <w:name w:val="Footer Char"/>
    <w:basedOn w:val="DefaultParagraphFont"/>
    <w:link w:val="Footer"/>
    <w:uiPriority w:val="99"/>
    <w:rsid w:val="00D90875"/>
    <w:rPr>
      <w:rFonts w:ascii="Arial" w:eastAsia="Arial" w:hAnsi="Arial" w:cs="Arial"/>
      <w:kern w:val="0"/>
      <w:lang w:eastAsia="en-GB" w:bidi="en-GB"/>
      <w14:ligatures w14:val="none"/>
    </w:rPr>
  </w:style>
  <w:style w:type="paragraph" w:styleId="Revision">
    <w:name w:val="Revision"/>
    <w:hidden/>
    <w:uiPriority w:val="99"/>
    <w:semiHidden/>
    <w:rsid w:val="0010093B"/>
    <w:pPr>
      <w:spacing w:after="0" w:line="240" w:lineRule="auto"/>
    </w:pPr>
    <w:rPr>
      <w:rFonts w:ascii="Arial" w:eastAsia="Arial" w:hAnsi="Arial" w:cs="Arial"/>
      <w:kern w:val="0"/>
      <w:lang w:eastAsia="en-GB" w:bidi="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14c660f-ae71-4669-8e09-0ecef28e9566" xsi:nil="true"/>
    <lcf76f155ced4ddcb4097134ff3c332f xmlns="26e195ce-615c-42f4-8c27-8ddc6ca44b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6" ma:contentTypeDescription="Create a new document." ma:contentTypeScope="" ma:versionID="462ba9fc4801a24d8394d4498eab11a3">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242d180cdaf0d83d0912aab5637ea76d"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63201-8027-45BB-BC83-5111E488BC01}">
  <ds:schemaRefs>
    <ds:schemaRef ds:uri="http://schemas.openxmlformats.org/officeDocument/2006/bibliography"/>
  </ds:schemaRefs>
</ds:datastoreItem>
</file>

<file path=customXml/itemProps2.xml><?xml version="1.0" encoding="utf-8"?>
<ds:datastoreItem xmlns:ds="http://schemas.openxmlformats.org/officeDocument/2006/customXml" ds:itemID="{E56CE77A-91E9-45CF-A956-5434479D00E9}">
  <ds:schemaRefs>
    <ds:schemaRef ds:uri="http://schemas.microsoft.com/office/2006/metadata/properties"/>
    <ds:schemaRef ds:uri="http://schemas.microsoft.com/office/infopath/2007/PartnerControls"/>
    <ds:schemaRef ds:uri="d14c660f-ae71-4669-8e09-0ecef28e9566"/>
    <ds:schemaRef ds:uri="26e195ce-615c-42f4-8c27-8ddc6ca44b04"/>
  </ds:schemaRefs>
</ds:datastoreItem>
</file>

<file path=customXml/itemProps3.xml><?xml version="1.0" encoding="utf-8"?>
<ds:datastoreItem xmlns:ds="http://schemas.openxmlformats.org/officeDocument/2006/customXml" ds:itemID="{1BCF44AC-0E80-452B-9477-9B3CC480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c660f-ae71-4669-8e09-0ecef28e9566"/>
    <ds:schemaRef ds:uri="26e195ce-615c-42f4-8c27-8ddc6ca44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474BA-E3D3-4877-895C-969CB26DC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dc:description/>
  <cp:lastModifiedBy>Gail Thomas</cp:lastModifiedBy>
  <cp:revision>17</cp:revision>
  <dcterms:created xsi:type="dcterms:W3CDTF">2023-05-26T16:13:00Z</dcterms:created>
  <dcterms:modified xsi:type="dcterms:W3CDTF">2023-07-25T08:18:00Z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0x010100BF3F40F6293FA74088D21B35B1BDCD37</vt:lpwstr>
  </property>
  <property fmtid="{D5CDD505-2E9C-101B-9397-08002B2CF9AE}" pid="3" name="MediaServiceImageTags">
    <vt:lpwstr/>
  </property>
</Properties>
</file>