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8B39D" w14:textId="6993E448" w:rsidR="006B064E" w:rsidRDefault="006B064E" w:rsidP="006B064E">
      <w:pPr>
        <w:spacing w:after="200" w:line="276" w:lineRule="auto"/>
        <w:rPr>
          <w:rFonts w:ascii="Palatino Linotype" w:hAnsi="Palatino Linotype" w:cs="Courier New"/>
          <w:sz w:val="22"/>
          <w:szCs w:val="22"/>
          <w:lang w:bidi="he-IL"/>
        </w:rPr>
      </w:pPr>
    </w:p>
    <w:tbl>
      <w:tblPr>
        <w:tblStyle w:val="TableGrid"/>
        <w:tblW w:w="0" w:type="auto"/>
        <w:tblLook w:val="04A0" w:firstRow="1" w:lastRow="0" w:firstColumn="1" w:lastColumn="0" w:noHBand="0" w:noVBand="1"/>
      </w:tblPr>
      <w:tblGrid>
        <w:gridCol w:w="4508"/>
        <w:gridCol w:w="4508"/>
      </w:tblGrid>
      <w:tr w:rsidR="00BB0439" w14:paraId="00F1F6EC" w14:textId="77777777" w:rsidTr="0001560E">
        <w:tc>
          <w:tcPr>
            <w:tcW w:w="9016" w:type="dxa"/>
            <w:gridSpan w:val="2"/>
          </w:tcPr>
          <w:p w14:paraId="5A1F61A6" w14:textId="50C43068" w:rsidR="00BB0439" w:rsidRDefault="0074432E" w:rsidP="000A6373">
            <w:pPr>
              <w:spacing w:after="160" w:line="259" w:lineRule="auto"/>
              <w:rPr>
                <w:rFonts w:asciiTheme="minorHAnsi" w:hAnsiTheme="minorHAnsi" w:cs="Courier New"/>
                <w:b/>
                <w:sz w:val="22"/>
                <w:szCs w:val="22"/>
                <w:lang w:bidi="he-IL"/>
              </w:rPr>
            </w:pPr>
            <w:r>
              <w:rPr>
                <w:rFonts w:asciiTheme="minorHAnsi" w:hAnsiTheme="minorHAnsi" w:cs="Courier New"/>
                <w:b/>
                <w:noProof/>
                <w:sz w:val="22"/>
                <w:szCs w:val="22"/>
                <w:lang w:bidi="he-IL"/>
              </w:rPr>
              <w:drawing>
                <wp:inline distT="0" distB="0" distL="0" distR="0" wp14:anchorId="1BB17B8D" wp14:editId="0F2D4894">
                  <wp:extent cx="859790"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65505"/>
                          </a:xfrm>
                          <a:prstGeom prst="rect">
                            <a:avLst/>
                          </a:prstGeom>
                          <a:noFill/>
                        </pic:spPr>
                      </pic:pic>
                    </a:graphicData>
                  </a:graphic>
                </wp:inline>
              </w:drawing>
            </w:r>
          </w:p>
        </w:tc>
      </w:tr>
      <w:tr w:rsidR="000A6373" w14:paraId="4996122E" w14:textId="77777777" w:rsidTr="000A6373">
        <w:tc>
          <w:tcPr>
            <w:tcW w:w="4508" w:type="dxa"/>
          </w:tcPr>
          <w:p w14:paraId="49663D5C" w14:textId="1E71944C" w:rsidR="000A6373" w:rsidRP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 xml:space="preserve">Document Title: </w:t>
            </w:r>
          </w:p>
          <w:p w14:paraId="5D9A7880" w14:textId="723247B2"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 xml:space="preserve"> </w:t>
            </w:r>
          </w:p>
        </w:tc>
        <w:tc>
          <w:tcPr>
            <w:tcW w:w="4508" w:type="dxa"/>
          </w:tcPr>
          <w:p w14:paraId="0A0DAC42" w14:textId="0E183F28" w:rsidR="000A6373" w:rsidRPr="00BB0439" w:rsidRDefault="000A6373" w:rsidP="000A6373">
            <w:pPr>
              <w:spacing w:after="160" w:line="259" w:lineRule="auto"/>
              <w:rPr>
                <w:rFonts w:asciiTheme="minorHAnsi" w:hAnsiTheme="minorHAnsi" w:cs="Courier New"/>
                <w:bCs/>
                <w:sz w:val="22"/>
                <w:szCs w:val="22"/>
                <w:lang w:bidi="he-IL"/>
              </w:rPr>
            </w:pPr>
            <w:r w:rsidRPr="000A6373">
              <w:rPr>
                <w:rFonts w:asciiTheme="minorHAnsi" w:hAnsiTheme="minorHAnsi" w:cs="Courier New"/>
                <w:bCs/>
                <w:sz w:val="22"/>
                <w:szCs w:val="22"/>
                <w:lang w:bidi="he-IL"/>
              </w:rPr>
              <w:t>C</w:t>
            </w:r>
            <w:r w:rsidRPr="00BB0439">
              <w:rPr>
                <w:rFonts w:asciiTheme="minorHAnsi" w:hAnsiTheme="minorHAnsi" w:cs="Courier New"/>
                <w:bCs/>
                <w:sz w:val="22"/>
                <w:szCs w:val="22"/>
                <w:lang w:bidi="he-IL"/>
              </w:rPr>
              <w:t>ardiff Univer</w:t>
            </w:r>
            <w:r w:rsidR="00BB0439" w:rsidRPr="00BB0439">
              <w:rPr>
                <w:rFonts w:asciiTheme="minorHAnsi" w:hAnsiTheme="minorHAnsi" w:cs="Courier New"/>
                <w:bCs/>
                <w:sz w:val="22"/>
                <w:szCs w:val="22"/>
                <w:lang w:bidi="he-IL"/>
              </w:rPr>
              <w:t>si</w:t>
            </w:r>
            <w:r w:rsidRPr="00BB0439">
              <w:rPr>
                <w:rFonts w:asciiTheme="minorHAnsi" w:hAnsiTheme="minorHAnsi" w:cs="Courier New"/>
                <w:bCs/>
                <w:sz w:val="22"/>
                <w:szCs w:val="22"/>
                <w:lang w:bidi="he-IL"/>
              </w:rPr>
              <w:t>ty</w:t>
            </w:r>
            <w:r w:rsidRPr="000A6373">
              <w:rPr>
                <w:rFonts w:asciiTheme="minorHAnsi" w:hAnsiTheme="minorHAnsi" w:cs="Courier New"/>
                <w:bCs/>
                <w:sz w:val="22"/>
                <w:szCs w:val="22"/>
                <w:lang w:bidi="he-IL"/>
              </w:rPr>
              <w:t xml:space="preserve"> </w:t>
            </w:r>
            <w:bookmarkStart w:id="0" w:name="_Hlk66961300"/>
            <w:r w:rsidR="007E1074">
              <w:rPr>
                <w:rFonts w:asciiTheme="minorHAnsi" w:hAnsiTheme="minorHAnsi" w:cs="Courier New"/>
                <w:bCs/>
                <w:sz w:val="22"/>
                <w:szCs w:val="22"/>
                <w:lang w:bidi="he-IL"/>
              </w:rPr>
              <w:t>Research Integrity -Compliance with External Conflict of Interest Requirements</w:t>
            </w:r>
            <w:bookmarkEnd w:id="0"/>
            <w:r w:rsidRPr="00BB0439">
              <w:rPr>
                <w:rFonts w:asciiTheme="minorHAnsi" w:hAnsiTheme="minorHAnsi" w:cs="Courier New"/>
                <w:bCs/>
                <w:sz w:val="22"/>
                <w:szCs w:val="22"/>
                <w:lang w:bidi="he-IL"/>
              </w:rPr>
              <w:t xml:space="preserve"> </w:t>
            </w:r>
            <w:r w:rsidRPr="000A6373">
              <w:rPr>
                <w:rFonts w:asciiTheme="minorHAnsi" w:hAnsiTheme="minorHAnsi" w:cs="Courier New"/>
                <w:bCs/>
                <w:sz w:val="22"/>
                <w:szCs w:val="22"/>
                <w:lang w:bidi="he-IL"/>
              </w:rPr>
              <w:t>(‘the Policy’)</w:t>
            </w:r>
          </w:p>
        </w:tc>
      </w:tr>
      <w:tr w:rsidR="000A6373" w14:paraId="45D8E96B" w14:textId="77777777" w:rsidTr="000A6373">
        <w:tc>
          <w:tcPr>
            <w:tcW w:w="4508" w:type="dxa"/>
          </w:tcPr>
          <w:p w14:paraId="60AADDD7" w14:textId="436BCC81" w:rsidR="000A6373" w:rsidRP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Author(s) (name, job</w:t>
            </w:r>
          </w:p>
          <w:p w14:paraId="160D7E33" w14:textId="77777777" w:rsidR="000A6373" w:rsidRP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title and Department):</w:t>
            </w:r>
          </w:p>
          <w:p w14:paraId="1D443D03" w14:textId="1EAF3AB4" w:rsidR="000A6373" w:rsidRDefault="000A6373" w:rsidP="000A6373">
            <w:pPr>
              <w:spacing w:after="160" w:line="259" w:lineRule="auto"/>
              <w:rPr>
                <w:rFonts w:asciiTheme="minorHAnsi" w:hAnsiTheme="minorHAnsi" w:cs="Courier New"/>
                <w:b/>
                <w:sz w:val="22"/>
                <w:szCs w:val="22"/>
                <w:lang w:bidi="he-IL"/>
              </w:rPr>
            </w:pPr>
          </w:p>
        </w:tc>
        <w:tc>
          <w:tcPr>
            <w:tcW w:w="4508" w:type="dxa"/>
          </w:tcPr>
          <w:p w14:paraId="69DDDDF9" w14:textId="6B2B7C5E" w:rsidR="000A6373" w:rsidRDefault="00CA2000" w:rsidP="00BB0439">
            <w:pPr>
              <w:spacing w:after="160" w:line="259" w:lineRule="auto"/>
              <w:rPr>
                <w:rFonts w:asciiTheme="minorHAnsi" w:hAnsiTheme="minorHAnsi" w:cs="Courier New"/>
                <w:bCs/>
                <w:sz w:val="22"/>
                <w:szCs w:val="22"/>
                <w:lang w:bidi="he-IL"/>
              </w:rPr>
            </w:pPr>
            <w:r>
              <w:rPr>
                <w:rFonts w:asciiTheme="minorHAnsi" w:hAnsiTheme="minorHAnsi" w:cs="Courier New"/>
                <w:bCs/>
                <w:sz w:val="22"/>
                <w:szCs w:val="22"/>
                <w:lang w:bidi="he-IL"/>
              </w:rPr>
              <w:t>Laura Hallez, Senior Risk Advisor, University Secretary’s Office</w:t>
            </w:r>
          </w:p>
          <w:p w14:paraId="055B15FD" w14:textId="6CF4C06B" w:rsidR="00CA2000" w:rsidRDefault="00CA2000" w:rsidP="00BB0439">
            <w:pPr>
              <w:spacing w:after="160" w:line="259" w:lineRule="auto"/>
              <w:rPr>
                <w:rFonts w:asciiTheme="minorHAnsi" w:hAnsiTheme="minorHAnsi" w:cs="Courier New"/>
                <w:bCs/>
                <w:sz w:val="22"/>
                <w:szCs w:val="22"/>
                <w:lang w:bidi="he-IL"/>
              </w:rPr>
            </w:pPr>
            <w:r>
              <w:rPr>
                <w:rFonts w:asciiTheme="minorHAnsi" w:hAnsiTheme="minorHAnsi" w:cs="Courier New"/>
                <w:bCs/>
                <w:sz w:val="22"/>
                <w:szCs w:val="22"/>
                <w:lang w:bidi="he-IL"/>
              </w:rPr>
              <w:t xml:space="preserve">Catrin Morgan, Head of Compliance and Risk, University Secretary’s Office </w:t>
            </w:r>
          </w:p>
          <w:p w14:paraId="5DE56ECF" w14:textId="15A16D8F" w:rsidR="00CA2000" w:rsidRPr="00CA2000" w:rsidRDefault="00CA2000" w:rsidP="00BB0439">
            <w:pPr>
              <w:spacing w:after="160" w:line="259" w:lineRule="auto"/>
              <w:rPr>
                <w:rFonts w:asciiTheme="minorHAnsi" w:hAnsiTheme="minorHAnsi" w:cs="Courier New"/>
                <w:b/>
                <w:bCs/>
                <w:sz w:val="22"/>
                <w:szCs w:val="22"/>
                <w:lang w:bidi="he-IL"/>
              </w:rPr>
            </w:pPr>
            <w:r>
              <w:rPr>
                <w:rFonts w:asciiTheme="minorHAnsi" w:hAnsiTheme="minorHAnsi" w:cs="Courier New"/>
                <w:bCs/>
                <w:sz w:val="22"/>
                <w:szCs w:val="22"/>
                <w:lang w:bidi="he-IL"/>
              </w:rPr>
              <w:t>Policy oversight/ownership: Elid Morris</w:t>
            </w:r>
            <w:r w:rsidRPr="00CA2000">
              <w:rPr>
                <w:rFonts w:asciiTheme="minorHAnsi" w:hAnsiTheme="minorHAnsi" w:cs="Courier New"/>
                <w:bCs/>
                <w:sz w:val="22"/>
                <w:szCs w:val="22"/>
                <w:lang w:bidi="he-IL"/>
              </w:rPr>
              <w:t>, Head of Research Grants &amp; Contracts</w:t>
            </w:r>
          </w:p>
        </w:tc>
      </w:tr>
      <w:tr w:rsidR="000A6373" w14:paraId="2A2C6BF3" w14:textId="77777777" w:rsidTr="000A6373">
        <w:tc>
          <w:tcPr>
            <w:tcW w:w="4508" w:type="dxa"/>
          </w:tcPr>
          <w:p w14:paraId="2D7F8F21" w14:textId="2850CB41"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Version Number:</w:t>
            </w:r>
          </w:p>
        </w:tc>
        <w:tc>
          <w:tcPr>
            <w:tcW w:w="4508" w:type="dxa"/>
          </w:tcPr>
          <w:p w14:paraId="11A2B5FD" w14:textId="30B3552F" w:rsidR="000A6373" w:rsidRDefault="00BB0439" w:rsidP="000A6373">
            <w:pPr>
              <w:spacing w:after="160" w:line="259" w:lineRule="auto"/>
              <w:rPr>
                <w:rFonts w:asciiTheme="minorHAnsi" w:hAnsiTheme="minorHAnsi" w:cs="Courier New"/>
                <w:b/>
                <w:sz w:val="22"/>
                <w:szCs w:val="22"/>
                <w:lang w:bidi="he-IL"/>
              </w:rPr>
            </w:pPr>
            <w:r>
              <w:rPr>
                <w:rFonts w:asciiTheme="minorHAnsi" w:hAnsiTheme="minorHAnsi" w:cs="Courier New"/>
                <w:b/>
                <w:sz w:val="22"/>
                <w:szCs w:val="22"/>
                <w:lang w:bidi="he-IL"/>
              </w:rPr>
              <w:t xml:space="preserve">V </w:t>
            </w:r>
            <w:r w:rsidR="007E1074">
              <w:rPr>
                <w:rFonts w:asciiTheme="minorHAnsi" w:hAnsiTheme="minorHAnsi" w:cs="Courier New"/>
                <w:b/>
                <w:sz w:val="22"/>
                <w:szCs w:val="22"/>
                <w:lang w:bidi="he-IL"/>
              </w:rPr>
              <w:t>1</w:t>
            </w:r>
          </w:p>
        </w:tc>
      </w:tr>
      <w:tr w:rsidR="000A6373" w14:paraId="1756203D" w14:textId="77777777" w:rsidTr="000A6373">
        <w:tc>
          <w:tcPr>
            <w:tcW w:w="4508" w:type="dxa"/>
          </w:tcPr>
          <w:p w14:paraId="351B2B4B" w14:textId="77777777" w:rsidR="000A6373" w:rsidRP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 xml:space="preserve">Document Status: </w:t>
            </w:r>
          </w:p>
          <w:p w14:paraId="0536163C" w14:textId="77777777" w:rsidR="000A6373" w:rsidRDefault="000A6373" w:rsidP="000A6373">
            <w:pPr>
              <w:spacing w:after="160" w:line="259" w:lineRule="auto"/>
              <w:rPr>
                <w:rFonts w:asciiTheme="minorHAnsi" w:hAnsiTheme="minorHAnsi" w:cs="Courier New"/>
                <w:b/>
                <w:sz w:val="22"/>
                <w:szCs w:val="22"/>
                <w:lang w:bidi="he-IL"/>
              </w:rPr>
            </w:pPr>
          </w:p>
        </w:tc>
        <w:tc>
          <w:tcPr>
            <w:tcW w:w="4508" w:type="dxa"/>
          </w:tcPr>
          <w:p w14:paraId="06FF9DD1" w14:textId="2EA871D6" w:rsidR="000A6373" w:rsidRDefault="00E776F2" w:rsidP="000A6373">
            <w:pPr>
              <w:spacing w:after="160" w:line="259" w:lineRule="auto"/>
              <w:rPr>
                <w:rFonts w:asciiTheme="minorHAnsi" w:hAnsiTheme="minorHAnsi" w:cs="Courier New"/>
                <w:b/>
                <w:sz w:val="22"/>
                <w:szCs w:val="22"/>
                <w:lang w:bidi="he-IL"/>
              </w:rPr>
            </w:pPr>
            <w:r>
              <w:rPr>
                <w:rFonts w:asciiTheme="minorHAnsi" w:hAnsiTheme="minorHAnsi" w:cs="Courier New"/>
                <w:b/>
                <w:sz w:val="22"/>
                <w:szCs w:val="22"/>
                <w:lang w:bidi="he-IL"/>
              </w:rPr>
              <w:t>Final</w:t>
            </w:r>
            <w:r w:rsidR="00CA2000">
              <w:rPr>
                <w:rFonts w:asciiTheme="minorHAnsi" w:hAnsiTheme="minorHAnsi" w:cs="Courier New"/>
                <w:b/>
                <w:sz w:val="22"/>
                <w:szCs w:val="22"/>
                <w:lang w:bidi="he-IL"/>
              </w:rPr>
              <w:t xml:space="preserve"> </w:t>
            </w:r>
          </w:p>
        </w:tc>
      </w:tr>
      <w:tr w:rsidR="000A6373" w14:paraId="49F38BDF" w14:textId="77777777" w:rsidTr="000A6373">
        <w:tc>
          <w:tcPr>
            <w:tcW w:w="4508" w:type="dxa"/>
          </w:tcPr>
          <w:p w14:paraId="5E1F784F" w14:textId="3FC15604"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Date Approved:</w:t>
            </w:r>
          </w:p>
        </w:tc>
        <w:tc>
          <w:tcPr>
            <w:tcW w:w="4508" w:type="dxa"/>
          </w:tcPr>
          <w:p w14:paraId="785758B8" w14:textId="49AA5485" w:rsidR="000A6373" w:rsidRDefault="00E776F2" w:rsidP="000A6373">
            <w:pPr>
              <w:spacing w:after="160" w:line="259" w:lineRule="auto"/>
              <w:rPr>
                <w:rFonts w:asciiTheme="minorHAnsi" w:hAnsiTheme="minorHAnsi" w:cs="Courier New"/>
                <w:b/>
                <w:sz w:val="22"/>
                <w:szCs w:val="22"/>
                <w:lang w:bidi="he-IL"/>
              </w:rPr>
            </w:pPr>
            <w:r>
              <w:rPr>
                <w:rFonts w:asciiTheme="minorHAnsi" w:hAnsiTheme="minorHAnsi" w:cs="Courier New"/>
                <w:b/>
                <w:sz w:val="22"/>
                <w:szCs w:val="22"/>
                <w:lang w:bidi="he-IL"/>
              </w:rPr>
              <w:t>26/03/2021</w:t>
            </w:r>
          </w:p>
        </w:tc>
      </w:tr>
      <w:tr w:rsidR="000A6373" w14:paraId="384898D9" w14:textId="77777777" w:rsidTr="000A6373">
        <w:tc>
          <w:tcPr>
            <w:tcW w:w="4508" w:type="dxa"/>
          </w:tcPr>
          <w:p w14:paraId="1F49BBC3" w14:textId="05F73A8E"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Approved By:</w:t>
            </w:r>
          </w:p>
        </w:tc>
        <w:tc>
          <w:tcPr>
            <w:tcW w:w="4508" w:type="dxa"/>
          </w:tcPr>
          <w:p w14:paraId="6AB4E1D5" w14:textId="5CB6187D" w:rsidR="000A6373" w:rsidRDefault="00E776F2" w:rsidP="000A6373">
            <w:pPr>
              <w:spacing w:after="160" w:line="259" w:lineRule="auto"/>
              <w:rPr>
                <w:rFonts w:asciiTheme="minorHAnsi" w:hAnsiTheme="minorHAnsi" w:cs="Courier New"/>
                <w:b/>
                <w:sz w:val="22"/>
                <w:szCs w:val="22"/>
                <w:lang w:bidi="he-IL"/>
              </w:rPr>
            </w:pPr>
            <w:r>
              <w:rPr>
                <w:rFonts w:asciiTheme="minorHAnsi" w:hAnsiTheme="minorHAnsi" w:cs="Courier New"/>
                <w:b/>
                <w:sz w:val="22"/>
                <w:szCs w:val="22"/>
                <w:lang w:bidi="he-IL"/>
              </w:rPr>
              <w:t>Council</w:t>
            </w:r>
          </w:p>
        </w:tc>
      </w:tr>
      <w:tr w:rsidR="000A6373" w14:paraId="6D8223ED" w14:textId="77777777" w:rsidTr="000A6373">
        <w:tc>
          <w:tcPr>
            <w:tcW w:w="4508" w:type="dxa"/>
          </w:tcPr>
          <w:p w14:paraId="541C88F5" w14:textId="45B5AEED"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Effective Date:</w:t>
            </w:r>
          </w:p>
        </w:tc>
        <w:tc>
          <w:tcPr>
            <w:tcW w:w="4508" w:type="dxa"/>
          </w:tcPr>
          <w:p w14:paraId="65BF0DD2" w14:textId="2008A51B" w:rsidR="000A6373" w:rsidRDefault="00E776F2" w:rsidP="000A6373">
            <w:pPr>
              <w:spacing w:after="160" w:line="259" w:lineRule="auto"/>
              <w:rPr>
                <w:rFonts w:asciiTheme="minorHAnsi" w:hAnsiTheme="minorHAnsi" w:cs="Courier New"/>
                <w:b/>
                <w:sz w:val="22"/>
                <w:szCs w:val="22"/>
                <w:lang w:bidi="he-IL"/>
              </w:rPr>
            </w:pPr>
            <w:r>
              <w:rPr>
                <w:rFonts w:asciiTheme="minorHAnsi" w:hAnsiTheme="minorHAnsi" w:cs="Courier New"/>
                <w:b/>
                <w:sz w:val="22"/>
                <w:szCs w:val="22"/>
                <w:lang w:bidi="he-IL"/>
              </w:rPr>
              <w:t>26/03/2021</w:t>
            </w:r>
          </w:p>
        </w:tc>
      </w:tr>
      <w:tr w:rsidR="000A6373" w14:paraId="0E4ACE3C" w14:textId="77777777" w:rsidTr="000A6373">
        <w:tc>
          <w:tcPr>
            <w:tcW w:w="4508" w:type="dxa"/>
          </w:tcPr>
          <w:p w14:paraId="02F87F06" w14:textId="7E359B84" w:rsidR="000A6373" w:rsidRP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 xml:space="preserve">Date of Next Review: </w:t>
            </w:r>
          </w:p>
          <w:p w14:paraId="34A937DB" w14:textId="77777777" w:rsidR="000A6373" w:rsidRDefault="000A6373" w:rsidP="000A6373">
            <w:pPr>
              <w:spacing w:after="160" w:line="259" w:lineRule="auto"/>
              <w:rPr>
                <w:rFonts w:asciiTheme="minorHAnsi" w:hAnsiTheme="minorHAnsi" w:cs="Courier New"/>
                <w:b/>
                <w:sz w:val="22"/>
                <w:szCs w:val="22"/>
                <w:lang w:bidi="he-IL"/>
              </w:rPr>
            </w:pPr>
          </w:p>
        </w:tc>
        <w:tc>
          <w:tcPr>
            <w:tcW w:w="4508" w:type="dxa"/>
          </w:tcPr>
          <w:p w14:paraId="5AD090AB" w14:textId="036E1585" w:rsidR="000A6373" w:rsidRDefault="00E776F2" w:rsidP="000A6373">
            <w:pPr>
              <w:spacing w:after="160" w:line="259" w:lineRule="auto"/>
              <w:rPr>
                <w:rFonts w:asciiTheme="minorHAnsi" w:hAnsiTheme="minorHAnsi" w:cs="Courier New"/>
                <w:b/>
                <w:sz w:val="22"/>
                <w:szCs w:val="22"/>
                <w:lang w:bidi="he-IL"/>
              </w:rPr>
            </w:pPr>
            <w:r>
              <w:rPr>
                <w:rFonts w:asciiTheme="minorHAnsi" w:hAnsiTheme="minorHAnsi" w:cs="Courier New"/>
                <w:b/>
                <w:sz w:val="22"/>
                <w:szCs w:val="22"/>
                <w:lang w:bidi="he-IL"/>
              </w:rPr>
              <w:t>31/03/2021</w:t>
            </w:r>
          </w:p>
        </w:tc>
      </w:tr>
      <w:tr w:rsidR="000A6373" w14:paraId="452B38F6" w14:textId="77777777" w:rsidTr="000A6373">
        <w:tc>
          <w:tcPr>
            <w:tcW w:w="4508" w:type="dxa"/>
          </w:tcPr>
          <w:p w14:paraId="66D68CAA" w14:textId="08E7468D"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Superseded Version:</w:t>
            </w:r>
          </w:p>
        </w:tc>
        <w:tc>
          <w:tcPr>
            <w:tcW w:w="4508" w:type="dxa"/>
          </w:tcPr>
          <w:p w14:paraId="4FDF50CA" w14:textId="31BFBBF2" w:rsidR="000A6373" w:rsidRDefault="00196118" w:rsidP="000A6373">
            <w:pPr>
              <w:spacing w:after="160" w:line="259" w:lineRule="auto"/>
              <w:rPr>
                <w:rFonts w:asciiTheme="minorHAnsi" w:hAnsiTheme="minorHAnsi" w:cs="Courier New"/>
                <w:b/>
                <w:sz w:val="22"/>
                <w:szCs w:val="22"/>
                <w:lang w:bidi="he-IL"/>
              </w:rPr>
            </w:pPr>
            <w:r>
              <w:rPr>
                <w:rFonts w:asciiTheme="minorHAnsi" w:hAnsiTheme="minorHAnsi" w:cs="Courier New"/>
                <w:b/>
                <w:sz w:val="22"/>
                <w:szCs w:val="22"/>
                <w:lang w:bidi="he-IL"/>
              </w:rPr>
              <w:t xml:space="preserve">This is a sub-policy of the </w:t>
            </w:r>
            <w:r w:rsidR="000A6373">
              <w:rPr>
                <w:rFonts w:asciiTheme="minorHAnsi" w:hAnsiTheme="minorHAnsi" w:cs="Courier New"/>
                <w:b/>
                <w:sz w:val="22"/>
                <w:szCs w:val="22"/>
                <w:lang w:bidi="he-IL"/>
              </w:rPr>
              <w:t xml:space="preserve">Disclosure of Interest Policy </w:t>
            </w:r>
          </w:p>
        </w:tc>
      </w:tr>
    </w:tbl>
    <w:p w14:paraId="518ED2C3" w14:textId="77777777" w:rsidR="000A6373" w:rsidRDefault="000A6373" w:rsidP="000A6373">
      <w:pPr>
        <w:spacing w:after="160" w:line="259" w:lineRule="auto"/>
        <w:rPr>
          <w:rFonts w:asciiTheme="minorHAnsi" w:hAnsiTheme="minorHAnsi" w:cs="Courier New"/>
          <w:b/>
          <w:sz w:val="22"/>
          <w:szCs w:val="22"/>
          <w:lang w:bidi="he-IL"/>
        </w:rPr>
      </w:pPr>
    </w:p>
    <w:p w14:paraId="418C5BA7" w14:textId="6F385CFA"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Document History</w:t>
      </w:r>
    </w:p>
    <w:tbl>
      <w:tblPr>
        <w:tblStyle w:val="TableGrid"/>
        <w:tblW w:w="0" w:type="auto"/>
        <w:tblLook w:val="04A0" w:firstRow="1" w:lastRow="0" w:firstColumn="1" w:lastColumn="0" w:noHBand="0" w:noVBand="1"/>
      </w:tblPr>
      <w:tblGrid>
        <w:gridCol w:w="915"/>
        <w:gridCol w:w="1348"/>
        <w:gridCol w:w="2694"/>
        <w:gridCol w:w="4059"/>
      </w:tblGrid>
      <w:tr w:rsidR="000A6373" w14:paraId="20540F3C" w14:textId="77777777" w:rsidTr="00BB0439">
        <w:tc>
          <w:tcPr>
            <w:tcW w:w="915" w:type="dxa"/>
          </w:tcPr>
          <w:p w14:paraId="10CAF55B" w14:textId="386290E9"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 xml:space="preserve">Version </w:t>
            </w:r>
          </w:p>
        </w:tc>
        <w:tc>
          <w:tcPr>
            <w:tcW w:w="1348" w:type="dxa"/>
          </w:tcPr>
          <w:p w14:paraId="55337162" w14:textId="017EA74E"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Date</w:t>
            </w:r>
          </w:p>
        </w:tc>
        <w:tc>
          <w:tcPr>
            <w:tcW w:w="2694" w:type="dxa"/>
          </w:tcPr>
          <w:p w14:paraId="3191A7D3" w14:textId="298FD93A"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Author/Consulted</w:t>
            </w:r>
          </w:p>
        </w:tc>
        <w:tc>
          <w:tcPr>
            <w:tcW w:w="4059" w:type="dxa"/>
          </w:tcPr>
          <w:p w14:paraId="3BE020B8" w14:textId="385E0161" w:rsidR="000A6373" w:rsidRDefault="00BB0439"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he-IL"/>
              </w:rPr>
              <w:t>Notes on Revisions</w:t>
            </w:r>
          </w:p>
        </w:tc>
      </w:tr>
      <w:tr w:rsidR="000A6373" w14:paraId="300319D6" w14:textId="77777777" w:rsidTr="00BB0439">
        <w:tc>
          <w:tcPr>
            <w:tcW w:w="915" w:type="dxa"/>
          </w:tcPr>
          <w:p w14:paraId="53D922D9" w14:textId="2CE557F2" w:rsidR="000A6373" w:rsidRPr="00BB0439" w:rsidRDefault="00BB0439" w:rsidP="000A6373">
            <w:pPr>
              <w:spacing w:after="160" w:line="259" w:lineRule="auto"/>
              <w:rPr>
                <w:rFonts w:asciiTheme="minorHAnsi" w:hAnsiTheme="minorHAnsi" w:cs="Courier New"/>
                <w:bCs/>
                <w:sz w:val="22"/>
                <w:szCs w:val="22"/>
                <w:lang w:bidi="he-IL"/>
              </w:rPr>
            </w:pPr>
            <w:r w:rsidRPr="00BB0439">
              <w:rPr>
                <w:rFonts w:asciiTheme="minorHAnsi" w:hAnsiTheme="minorHAnsi" w:cs="Courier New"/>
                <w:bCs/>
                <w:sz w:val="22"/>
                <w:szCs w:val="22"/>
                <w:lang w:bidi="he-IL"/>
              </w:rPr>
              <w:t>1</w:t>
            </w:r>
          </w:p>
        </w:tc>
        <w:tc>
          <w:tcPr>
            <w:tcW w:w="1348" w:type="dxa"/>
          </w:tcPr>
          <w:p w14:paraId="4C1AC58F" w14:textId="20377FF8" w:rsidR="000A6373" w:rsidRPr="00BB0439" w:rsidRDefault="007E1074" w:rsidP="000A6373">
            <w:pPr>
              <w:spacing w:after="160" w:line="259" w:lineRule="auto"/>
              <w:rPr>
                <w:rFonts w:asciiTheme="minorHAnsi" w:hAnsiTheme="minorHAnsi" w:cs="Courier New"/>
                <w:bCs/>
                <w:sz w:val="22"/>
                <w:szCs w:val="22"/>
                <w:lang w:bidi="he-IL"/>
              </w:rPr>
            </w:pPr>
            <w:r>
              <w:rPr>
                <w:rFonts w:asciiTheme="minorHAnsi" w:hAnsiTheme="minorHAnsi" w:cs="Courier New"/>
                <w:bCs/>
                <w:sz w:val="22"/>
                <w:szCs w:val="22"/>
                <w:lang w:bidi="he-IL"/>
              </w:rPr>
              <w:t>March 2021</w:t>
            </w:r>
          </w:p>
        </w:tc>
        <w:tc>
          <w:tcPr>
            <w:tcW w:w="2694" w:type="dxa"/>
          </w:tcPr>
          <w:p w14:paraId="3A19D9EA" w14:textId="0C351E8B" w:rsidR="000A6373" w:rsidRPr="00BB0439" w:rsidRDefault="000A6373" w:rsidP="000A6373">
            <w:pPr>
              <w:spacing w:after="160" w:line="259" w:lineRule="auto"/>
              <w:rPr>
                <w:rFonts w:asciiTheme="minorHAnsi" w:hAnsiTheme="minorHAnsi" w:cs="Courier New"/>
                <w:bCs/>
                <w:sz w:val="22"/>
                <w:szCs w:val="22"/>
                <w:lang w:bidi="he-IL"/>
              </w:rPr>
            </w:pPr>
          </w:p>
        </w:tc>
        <w:tc>
          <w:tcPr>
            <w:tcW w:w="4059" w:type="dxa"/>
          </w:tcPr>
          <w:p w14:paraId="0CC9AD1E" w14:textId="27E02BB0" w:rsidR="000A6373" w:rsidRPr="00BB0439" w:rsidRDefault="00BB0439" w:rsidP="000A6373">
            <w:pPr>
              <w:spacing w:after="160" w:line="259" w:lineRule="auto"/>
              <w:rPr>
                <w:rFonts w:asciiTheme="minorHAnsi" w:hAnsiTheme="minorHAnsi" w:cs="Courier New"/>
                <w:bCs/>
                <w:sz w:val="22"/>
                <w:szCs w:val="22"/>
                <w:lang w:bidi="he-IL"/>
              </w:rPr>
            </w:pPr>
            <w:r w:rsidRPr="00BB0439">
              <w:rPr>
                <w:rFonts w:asciiTheme="minorHAnsi" w:hAnsiTheme="minorHAnsi" w:cs="Courier New"/>
                <w:bCs/>
                <w:sz w:val="22"/>
                <w:szCs w:val="22"/>
                <w:lang w:bidi="he-IL"/>
              </w:rPr>
              <w:t>New</w:t>
            </w:r>
            <w:r w:rsidR="00196118">
              <w:rPr>
                <w:rFonts w:asciiTheme="minorHAnsi" w:hAnsiTheme="minorHAnsi" w:cs="Courier New"/>
                <w:bCs/>
                <w:sz w:val="22"/>
                <w:szCs w:val="22"/>
                <w:lang w:bidi="he-IL"/>
              </w:rPr>
              <w:t xml:space="preserve"> </w:t>
            </w:r>
            <w:r w:rsidRPr="00BB0439">
              <w:rPr>
                <w:rFonts w:asciiTheme="minorHAnsi" w:hAnsiTheme="minorHAnsi" w:cs="Courier New"/>
                <w:bCs/>
                <w:sz w:val="22"/>
                <w:szCs w:val="22"/>
                <w:lang w:bidi="he-IL"/>
              </w:rPr>
              <w:t>policy</w:t>
            </w:r>
          </w:p>
        </w:tc>
      </w:tr>
      <w:tr w:rsidR="000A6373" w14:paraId="4052E61F" w14:textId="77777777" w:rsidTr="00BB0439">
        <w:tc>
          <w:tcPr>
            <w:tcW w:w="915" w:type="dxa"/>
          </w:tcPr>
          <w:p w14:paraId="0202FA97" w14:textId="756B9768" w:rsidR="000A6373" w:rsidRPr="00BB0439" w:rsidRDefault="00BB0439" w:rsidP="000A6373">
            <w:pPr>
              <w:spacing w:after="160" w:line="259" w:lineRule="auto"/>
              <w:rPr>
                <w:rFonts w:asciiTheme="minorHAnsi" w:hAnsiTheme="minorHAnsi" w:cs="Courier New"/>
                <w:bCs/>
                <w:sz w:val="22"/>
                <w:szCs w:val="22"/>
                <w:lang w:bidi="he-IL"/>
              </w:rPr>
            </w:pPr>
            <w:r w:rsidRPr="00BB0439">
              <w:rPr>
                <w:rFonts w:asciiTheme="minorHAnsi" w:hAnsiTheme="minorHAnsi" w:cs="Courier New"/>
                <w:bCs/>
                <w:sz w:val="22"/>
                <w:szCs w:val="22"/>
                <w:lang w:bidi="he-IL"/>
              </w:rPr>
              <w:t>2</w:t>
            </w:r>
          </w:p>
        </w:tc>
        <w:tc>
          <w:tcPr>
            <w:tcW w:w="1348" w:type="dxa"/>
          </w:tcPr>
          <w:p w14:paraId="47543026" w14:textId="77777777" w:rsidR="000A6373" w:rsidRDefault="000A6373" w:rsidP="000A6373">
            <w:pPr>
              <w:spacing w:after="160" w:line="259" w:lineRule="auto"/>
              <w:rPr>
                <w:rFonts w:asciiTheme="minorHAnsi" w:hAnsiTheme="minorHAnsi" w:cs="Courier New"/>
                <w:b/>
                <w:sz w:val="22"/>
                <w:szCs w:val="22"/>
                <w:lang w:bidi="he-IL"/>
              </w:rPr>
            </w:pPr>
          </w:p>
        </w:tc>
        <w:tc>
          <w:tcPr>
            <w:tcW w:w="2694" w:type="dxa"/>
          </w:tcPr>
          <w:p w14:paraId="03C7EB9E" w14:textId="77777777" w:rsidR="000A6373" w:rsidRDefault="000A6373" w:rsidP="000A6373">
            <w:pPr>
              <w:spacing w:after="160" w:line="259" w:lineRule="auto"/>
              <w:rPr>
                <w:rFonts w:asciiTheme="minorHAnsi" w:hAnsiTheme="minorHAnsi" w:cs="Courier New"/>
                <w:b/>
                <w:sz w:val="22"/>
                <w:szCs w:val="22"/>
                <w:lang w:bidi="he-IL"/>
              </w:rPr>
            </w:pPr>
          </w:p>
        </w:tc>
        <w:tc>
          <w:tcPr>
            <w:tcW w:w="4059" w:type="dxa"/>
          </w:tcPr>
          <w:p w14:paraId="27A6AD4B" w14:textId="77777777" w:rsidR="000A6373" w:rsidRDefault="000A6373" w:rsidP="000A6373">
            <w:pPr>
              <w:spacing w:after="160" w:line="259" w:lineRule="auto"/>
              <w:rPr>
                <w:rFonts w:asciiTheme="minorHAnsi" w:hAnsiTheme="minorHAnsi" w:cs="Courier New"/>
                <w:b/>
                <w:sz w:val="22"/>
                <w:szCs w:val="22"/>
                <w:lang w:bidi="he-IL"/>
              </w:rPr>
            </w:pPr>
          </w:p>
        </w:tc>
      </w:tr>
    </w:tbl>
    <w:p w14:paraId="6053D05D" w14:textId="234FFB8E" w:rsidR="000A6373" w:rsidRPr="000A6373" w:rsidRDefault="000A6373" w:rsidP="000A6373">
      <w:pPr>
        <w:spacing w:after="160" w:line="259" w:lineRule="auto"/>
        <w:rPr>
          <w:rFonts w:asciiTheme="minorHAnsi" w:hAnsiTheme="minorHAnsi" w:cs="Courier New"/>
          <w:b/>
          <w:sz w:val="22"/>
          <w:szCs w:val="22"/>
          <w:lang w:bidi="he-IL"/>
        </w:rPr>
      </w:pPr>
    </w:p>
    <w:p w14:paraId="4D414105" w14:textId="43D978ED" w:rsidR="00BB0439" w:rsidRPr="00BB0439" w:rsidRDefault="00BB0439">
      <w:pPr>
        <w:spacing w:after="160" w:line="259" w:lineRule="auto"/>
        <w:rPr>
          <w:rFonts w:ascii="Arial" w:hAnsi="Arial" w:cs="Arial"/>
          <w:bCs/>
          <w:sz w:val="28"/>
          <w:szCs w:val="28"/>
          <w:lang w:bidi="he-IL"/>
        </w:rPr>
      </w:pPr>
      <w:r w:rsidRPr="00BB0439">
        <w:rPr>
          <w:rFonts w:ascii="Arial" w:hAnsi="Arial" w:cs="Arial"/>
          <w:bCs/>
          <w:sz w:val="28"/>
          <w:szCs w:val="28"/>
          <w:lang w:bidi="he-IL"/>
        </w:rPr>
        <w:t>If you require this information in large print or another format please contact University IT Service Desk on, +44 (0)29 208 74487 or by e-mail: insrvConnect@cardiff.ac.uk</w:t>
      </w:r>
    </w:p>
    <w:p w14:paraId="579621F6" w14:textId="1181F56D" w:rsidR="000811CA" w:rsidRPr="0074432E" w:rsidRDefault="00BB0439" w:rsidP="0074432E">
      <w:pPr>
        <w:spacing w:after="160" w:line="259" w:lineRule="auto"/>
        <w:rPr>
          <w:rFonts w:asciiTheme="minorHAnsi" w:hAnsiTheme="minorHAnsi" w:cs="Courier New"/>
          <w:b/>
          <w:sz w:val="22"/>
          <w:szCs w:val="22"/>
          <w:lang w:bidi="he-IL"/>
        </w:rPr>
      </w:pPr>
      <w:r>
        <w:rPr>
          <w:rFonts w:asciiTheme="minorHAnsi" w:hAnsiTheme="minorHAnsi" w:cs="Courier New"/>
          <w:b/>
          <w:sz w:val="22"/>
          <w:szCs w:val="22"/>
          <w:lang w:bidi="he-IL"/>
        </w:rPr>
        <w:br w:type="page"/>
      </w:r>
      <w:r w:rsidR="007E1074" w:rsidRPr="007E1074">
        <w:rPr>
          <w:rFonts w:asciiTheme="minorHAnsi" w:hAnsiTheme="minorHAnsi" w:cs="Courier New"/>
          <w:b/>
          <w:sz w:val="22"/>
          <w:szCs w:val="22"/>
          <w:lang w:bidi="he-IL"/>
        </w:rPr>
        <w:lastRenderedPageBreak/>
        <w:t>Research Integrity -</w:t>
      </w:r>
      <w:r w:rsidR="005D7A4B">
        <w:rPr>
          <w:rFonts w:asciiTheme="minorHAnsi" w:hAnsiTheme="minorHAnsi" w:cs="Courier New"/>
          <w:b/>
          <w:sz w:val="22"/>
          <w:szCs w:val="22"/>
          <w:lang w:bidi="he-IL"/>
        </w:rPr>
        <w:t xml:space="preserve"> </w:t>
      </w:r>
      <w:r w:rsidR="007E1074" w:rsidRPr="007E1074">
        <w:rPr>
          <w:rFonts w:asciiTheme="minorHAnsi" w:hAnsiTheme="minorHAnsi" w:cs="Courier New"/>
          <w:b/>
          <w:sz w:val="22"/>
          <w:szCs w:val="22"/>
          <w:lang w:bidi="he-IL"/>
        </w:rPr>
        <w:t>Compliance with External Conflict of Interest Requirements</w:t>
      </w:r>
    </w:p>
    <w:p w14:paraId="35A1C896" w14:textId="77777777" w:rsidR="00D76992" w:rsidRPr="00594040" w:rsidRDefault="00D76992" w:rsidP="000811CA">
      <w:pPr>
        <w:autoSpaceDE w:val="0"/>
        <w:autoSpaceDN w:val="0"/>
        <w:adjustRightInd w:val="0"/>
        <w:jc w:val="both"/>
        <w:rPr>
          <w:rFonts w:asciiTheme="minorHAnsi" w:hAnsiTheme="minorHAnsi" w:cs="Courier New"/>
          <w:sz w:val="22"/>
          <w:szCs w:val="22"/>
          <w:lang w:bidi="he-IL"/>
        </w:rPr>
      </w:pPr>
    </w:p>
    <w:p w14:paraId="53D47C00" w14:textId="1070F880" w:rsidR="000A45B7" w:rsidRPr="000A45B7" w:rsidRDefault="00CA33CC" w:rsidP="000A45B7">
      <w:pPr>
        <w:jc w:val="both"/>
        <w:rPr>
          <w:rFonts w:asciiTheme="minorHAnsi" w:hAnsiTheme="minorHAnsi"/>
          <w:b/>
          <w:sz w:val="22"/>
          <w:szCs w:val="22"/>
        </w:rPr>
      </w:pPr>
      <w:r>
        <w:rPr>
          <w:rFonts w:asciiTheme="minorHAnsi" w:hAnsiTheme="minorHAnsi"/>
          <w:b/>
          <w:sz w:val="22"/>
          <w:szCs w:val="22"/>
        </w:rPr>
        <w:t>I</w:t>
      </w:r>
      <w:r w:rsidR="000A45B7" w:rsidRPr="000A45B7">
        <w:rPr>
          <w:rFonts w:asciiTheme="minorHAnsi" w:hAnsiTheme="minorHAnsi"/>
          <w:b/>
          <w:sz w:val="22"/>
          <w:szCs w:val="22"/>
        </w:rPr>
        <w:t>ntroduction</w:t>
      </w:r>
    </w:p>
    <w:p w14:paraId="2EDEE822" w14:textId="5D2BBDEA" w:rsidR="000A45B7" w:rsidRDefault="000A45B7" w:rsidP="000A45B7">
      <w:pPr>
        <w:jc w:val="both"/>
        <w:rPr>
          <w:rFonts w:asciiTheme="minorHAnsi" w:hAnsiTheme="minorHAnsi"/>
          <w:sz w:val="22"/>
          <w:szCs w:val="22"/>
        </w:rPr>
      </w:pPr>
      <w:r w:rsidRPr="00594040">
        <w:rPr>
          <w:rFonts w:asciiTheme="minorHAnsi" w:hAnsiTheme="minorHAnsi"/>
          <w:sz w:val="22"/>
          <w:szCs w:val="22"/>
        </w:rPr>
        <w:t>As an institution in receipt of public and other funds</w:t>
      </w:r>
      <w:r>
        <w:rPr>
          <w:rFonts w:asciiTheme="minorHAnsi" w:hAnsiTheme="minorHAnsi"/>
          <w:sz w:val="22"/>
          <w:szCs w:val="22"/>
        </w:rPr>
        <w:t>,</w:t>
      </w:r>
      <w:r w:rsidRPr="00594040">
        <w:rPr>
          <w:rFonts w:asciiTheme="minorHAnsi" w:hAnsiTheme="minorHAnsi"/>
          <w:sz w:val="22"/>
          <w:szCs w:val="22"/>
        </w:rPr>
        <w:t xml:space="preserve"> the University has a duty to fulfil the highest standards</w:t>
      </w:r>
      <w:r>
        <w:rPr>
          <w:rFonts w:asciiTheme="minorHAnsi" w:hAnsiTheme="minorHAnsi"/>
          <w:sz w:val="22"/>
          <w:szCs w:val="22"/>
        </w:rPr>
        <w:t xml:space="preserve"> of corporate governance.  </w:t>
      </w:r>
      <w:r w:rsidRPr="00594040">
        <w:rPr>
          <w:rFonts w:asciiTheme="minorHAnsi" w:hAnsiTheme="minorHAnsi"/>
          <w:sz w:val="22"/>
          <w:szCs w:val="22"/>
        </w:rPr>
        <w:t xml:space="preserve">Cardiff University is therefore committed to the accepted </w:t>
      </w:r>
      <w:r>
        <w:rPr>
          <w:rFonts w:asciiTheme="minorHAnsi" w:hAnsiTheme="minorHAnsi"/>
          <w:sz w:val="22"/>
          <w:szCs w:val="22"/>
        </w:rPr>
        <w:t>principles of public life</w:t>
      </w:r>
      <w:r w:rsidRPr="00594040">
        <w:rPr>
          <w:rFonts w:asciiTheme="minorHAnsi" w:hAnsiTheme="minorHAnsi"/>
          <w:sz w:val="22"/>
          <w:szCs w:val="22"/>
        </w:rPr>
        <w:t xml:space="preserve"> which embrace selflessness, integrity, objectivity, accountability, openness, </w:t>
      </w:r>
      <w:proofErr w:type="gramStart"/>
      <w:r>
        <w:rPr>
          <w:rFonts w:asciiTheme="minorHAnsi" w:hAnsiTheme="minorHAnsi"/>
          <w:sz w:val="22"/>
          <w:szCs w:val="22"/>
        </w:rPr>
        <w:t>honesty</w:t>
      </w:r>
      <w:proofErr w:type="gramEnd"/>
      <w:r>
        <w:rPr>
          <w:rFonts w:asciiTheme="minorHAnsi" w:hAnsiTheme="minorHAnsi"/>
          <w:sz w:val="22"/>
          <w:szCs w:val="22"/>
        </w:rPr>
        <w:t xml:space="preserve"> and leadership.  </w:t>
      </w:r>
    </w:p>
    <w:p w14:paraId="56C25302" w14:textId="77777777" w:rsidR="000A45B7" w:rsidRDefault="000A45B7" w:rsidP="000A45B7">
      <w:pPr>
        <w:jc w:val="both"/>
        <w:rPr>
          <w:rFonts w:asciiTheme="minorHAnsi" w:hAnsiTheme="minorHAnsi"/>
          <w:sz w:val="22"/>
          <w:szCs w:val="22"/>
        </w:rPr>
      </w:pPr>
    </w:p>
    <w:p w14:paraId="2A1DB9A8" w14:textId="41672FC1" w:rsidR="000A45B7" w:rsidRPr="008D323E" w:rsidRDefault="000A45B7" w:rsidP="000A45B7">
      <w:pPr>
        <w:jc w:val="both"/>
        <w:rPr>
          <w:rFonts w:asciiTheme="minorHAnsi" w:hAnsiTheme="minorHAnsi"/>
          <w:sz w:val="22"/>
          <w:szCs w:val="22"/>
        </w:rPr>
      </w:pPr>
      <w:r w:rsidRPr="00594040">
        <w:rPr>
          <w:rFonts w:asciiTheme="minorHAnsi" w:hAnsiTheme="minorHAnsi"/>
          <w:sz w:val="22"/>
          <w:szCs w:val="22"/>
        </w:rPr>
        <w:t>The University encourages staff to engage in appropriate external activities</w:t>
      </w:r>
      <w:r w:rsidR="00F337A1">
        <w:rPr>
          <w:rFonts w:asciiTheme="minorHAnsi" w:hAnsiTheme="minorHAnsi"/>
          <w:sz w:val="22"/>
          <w:szCs w:val="22"/>
        </w:rPr>
        <w:t xml:space="preserve"> and i</w:t>
      </w:r>
      <w:r w:rsidRPr="008D323E">
        <w:rPr>
          <w:rFonts w:asciiTheme="minorHAnsi" w:hAnsiTheme="minorHAnsi"/>
          <w:bCs/>
          <w:sz w:val="22"/>
          <w:szCs w:val="22"/>
        </w:rPr>
        <w:t xml:space="preserve">n keeping with its academic aims and purposes, the University encourages liaison between its staff </w:t>
      </w:r>
      <w:r w:rsidR="00F337A1">
        <w:rPr>
          <w:rFonts w:asciiTheme="minorHAnsi" w:hAnsiTheme="minorHAnsi"/>
          <w:bCs/>
          <w:sz w:val="22"/>
          <w:szCs w:val="22"/>
        </w:rPr>
        <w:t>various external organisations</w:t>
      </w:r>
      <w:r w:rsidR="00760E4C">
        <w:rPr>
          <w:rFonts w:asciiTheme="minorHAnsi" w:hAnsiTheme="minorHAnsi"/>
          <w:bCs/>
          <w:sz w:val="22"/>
          <w:szCs w:val="22"/>
        </w:rPr>
        <w:t xml:space="preserve"> </w:t>
      </w:r>
      <w:r w:rsidR="00F337A1">
        <w:rPr>
          <w:rFonts w:asciiTheme="minorHAnsi" w:hAnsiTheme="minorHAnsi"/>
          <w:bCs/>
          <w:sz w:val="22"/>
          <w:szCs w:val="22"/>
        </w:rPr>
        <w:t>includ</w:t>
      </w:r>
      <w:r w:rsidR="00760E4C">
        <w:rPr>
          <w:rFonts w:asciiTheme="minorHAnsi" w:hAnsiTheme="minorHAnsi"/>
          <w:bCs/>
          <w:sz w:val="22"/>
          <w:szCs w:val="22"/>
        </w:rPr>
        <w:t>ing</w:t>
      </w:r>
      <w:r w:rsidRPr="008D323E">
        <w:rPr>
          <w:rFonts w:asciiTheme="minorHAnsi" w:hAnsiTheme="minorHAnsi"/>
          <w:bCs/>
          <w:sz w:val="22"/>
          <w:szCs w:val="22"/>
        </w:rPr>
        <w:t xml:space="preserve"> </w:t>
      </w:r>
      <w:r w:rsidR="00AD2873">
        <w:rPr>
          <w:rFonts w:asciiTheme="minorHAnsi" w:hAnsiTheme="minorHAnsi"/>
          <w:bCs/>
          <w:sz w:val="22"/>
          <w:szCs w:val="22"/>
        </w:rPr>
        <w:t>involvement with</w:t>
      </w:r>
      <w:r w:rsidR="00AD2873" w:rsidRPr="00AD2873">
        <w:rPr>
          <w:rFonts w:asciiTheme="minorHAnsi" w:hAnsiTheme="minorHAnsi"/>
          <w:bCs/>
          <w:sz w:val="22"/>
          <w:szCs w:val="22"/>
        </w:rPr>
        <w:t xml:space="preserve"> </w:t>
      </w:r>
      <w:r w:rsidR="00AD2873">
        <w:rPr>
          <w:rFonts w:asciiTheme="minorHAnsi" w:hAnsiTheme="minorHAnsi"/>
          <w:bCs/>
          <w:sz w:val="22"/>
          <w:szCs w:val="22"/>
        </w:rPr>
        <w:t xml:space="preserve">charities and </w:t>
      </w:r>
      <w:r w:rsidR="00AD2873" w:rsidRPr="00AD2873">
        <w:rPr>
          <w:rFonts w:asciiTheme="minorHAnsi" w:hAnsiTheme="minorHAnsi"/>
          <w:bCs/>
          <w:sz w:val="22"/>
          <w:szCs w:val="22"/>
        </w:rPr>
        <w:t>government</w:t>
      </w:r>
      <w:r w:rsidR="00AD2873">
        <w:rPr>
          <w:rFonts w:asciiTheme="minorHAnsi" w:hAnsiTheme="minorHAnsi"/>
          <w:bCs/>
          <w:sz w:val="22"/>
          <w:szCs w:val="22"/>
        </w:rPr>
        <w:t xml:space="preserve"> departments</w:t>
      </w:r>
      <w:r w:rsidR="00AD2873" w:rsidRPr="00AD2873">
        <w:rPr>
          <w:rFonts w:asciiTheme="minorHAnsi" w:hAnsiTheme="minorHAnsi"/>
          <w:bCs/>
          <w:sz w:val="22"/>
          <w:szCs w:val="22"/>
        </w:rPr>
        <w:t>, business and community boards, providing expert advice, media commentary, professional practice, schools outreach, international projects and collaborations with the commercial world, including consultancy, collaborative research and development, and commercialisation of intellectual property (IP) through licensing and ‘spinout’ companies</w:t>
      </w:r>
      <w:r w:rsidR="00760E4C">
        <w:rPr>
          <w:rFonts w:asciiTheme="minorHAnsi" w:hAnsiTheme="minorHAnsi"/>
          <w:bCs/>
          <w:sz w:val="22"/>
          <w:szCs w:val="22"/>
        </w:rPr>
        <w:t xml:space="preserve">. </w:t>
      </w:r>
      <w:r w:rsidRPr="008D323E">
        <w:rPr>
          <w:rFonts w:asciiTheme="minorHAnsi" w:hAnsiTheme="minorHAnsi"/>
          <w:bCs/>
          <w:sz w:val="22"/>
          <w:szCs w:val="22"/>
        </w:rPr>
        <w:t>The University also allows staff to be engaged in general paid and unpaid activities</w:t>
      </w:r>
      <w:r w:rsidR="00CA33CC" w:rsidRPr="008D323E">
        <w:rPr>
          <w:rFonts w:asciiTheme="minorHAnsi" w:hAnsiTheme="minorHAnsi"/>
          <w:bCs/>
          <w:sz w:val="22"/>
          <w:szCs w:val="22"/>
        </w:rPr>
        <w:t xml:space="preserve"> (subject to prior approval)</w:t>
      </w:r>
      <w:r w:rsidRPr="008D323E">
        <w:rPr>
          <w:rFonts w:asciiTheme="minorHAnsi" w:hAnsiTheme="minorHAnsi"/>
          <w:bCs/>
          <w:sz w:val="22"/>
          <w:szCs w:val="22"/>
        </w:rPr>
        <w:t xml:space="preserve">. </w:t>
      </w:r>
    </w:p>
    <w:p w14:paraId="1BACC6C9" w14:textId="77777777" w:rsidR="000A45B7" w:rsidRPr="00760E4C" w:rsidRDefault="000A45B7" w:rsidP="000A45B7">
      <w:pPr>
        <w:jc w:val="both"/>
        <w:rPr>
          <w:rFonts w:asciiTheme="minorHAnsi" w:hAnsiTheme="minorHAnsi"/>
          <w:bCs/>
          <w:sz w:val="22"/>
          <w:szCs w:val="22"/>
        </w:rPr>
      </w:pPr>
    </w:p>
    <w:p w14:paraId="7FE6E22F" w14:textId="0728C055" w:rsidR="00B346E8" w:rsidRPr="00760E4C" w:rsidRDefault="000A45B7" w:rsidP="00B346E8">
      <w:pPr>
        <w:jc w:val="both"/>
        <w:rPr>
          <w:rFonts w:asciiTheme="minorHAnsi" w:hAnsiTheme="minorHAnsi"/>
          <w:sz w:val="22"/>
          <w:szCs w:val="22"/>
        </w:rPr>
      </w:pPr>
      <w:r w:rsidRPr="00760E4C">
        <w:rPr>
          <w:rFonts w:asciiTheme="minorHAnsi" w:hAnsiTheme="minorHAnsi"/>
          <w:bCs/>
          <w:sz w:val="22"/>
          <w:szCs w:val="22"/>
        </w:rPr>
        <w:t xml:space="preserve">In encouraging such interaction, the University is mindful of its obligation to provide safeguards, wherever possible, </w:t>
      </w:r>
      <w:r w:rsidR="007E1074">
        <w:rPr>
          <w:rFonts w:asciiTheme="minorHAnsi" w:hAnsiTheme="minorHAnsi"/>
          <w:bCs/>
          <w:sz w:val="22"/>
          <w:szCs w:val="22"/>
        </w:rPr>
        <w:t xml:space="preserve">and </w:t>
      </w:r>
      <w:proofErr w:type="gramStart"/>
      <w:r w:rsidR="007E1074">
        <w:rPr>
          <w:rFonts w:asciiTheme="minorHAnsi" w:hAnsiTheme="minorHAnsi"/>
          <w:bCs/>
          <w:sz w:val="22"/>
          <w:szCs w:val="22"/>
        </w:rPr>
        <w:t>in order to</w:t>
      </w:r>
      <w:proofErr w:type="gramEnd"/>
      <w:r w:rsidR="007E1074">
        <w:rPr>
          <w:rFonts w:asciiTheme="minorHAnsi" w:hAnsiTheme="minorHAnsi"/>
          <w:bCs/>
          <w:sz w:val="22"/>
          <w:szCs w:val="22"/>
        </w:rPr>
        <w:t xml:space="preserve"> manage the associated risks to an acceptable level, all staff, students and others working in the University (including grant holders and honorary researchers) are required to recognise and disclose activities that might give risk to actual or perceived conflicts of interest</w:t>
      </w:r>
      <w:r w:rsidRPr="00760E4C">
        <w:rPr>
          <w:rFonts w:asciiTheme="minorHAnsi" w:hAnsiTheme="minorHAnsi"/>
          <w:bCs/>
          <w:sz w:val="22"/>
          <w:szCs w:val="22"/>
        </w:rPr>
        <w:t>.</w:t>
      </w:r>
      <w:r w:rsidR="00B346E8" w:rsidRPr="00760E4C">
        <w:rPr>
          <w:rFonts w:asciiTheme="minorHAnsi" w:hAnsiTheme="minorHAnsi"/>
          <w:sz w:val="22"/>
          <w:szCs w:val="22"/>
        </w:rPr>
        <w:t xml:space="preserve"> </w:t>
      </w:r>
    </w:p>
    <w:p w14:paraId="6A8B905B" w14:textId="0D0B922A" w:rsidR="00775D5E" w:rsidRDefault="00775D5E" w:rsidP="007E1074">
      <w:pPr>
        <w:autoSpaceDE w:val="0"/>
        <w:autoSpaceDN w:val="0"/>
        <w:adjustRightInd w:val="0"/>
        <w:jc w:val="both"/>
        <w:rPr>
          <w:rFonts w:asciiTheme="minorHAnsi" w:hAnsiTheme="minorHAnsi" w:cs="Courier New"/>
          <w:sz w:val="22"/>
          <w:szCs w:val="22"/>
          <w:lang w:bidi="he-IL"/>
        </w:rPr>
      </w:pPr>
    </w:p>
    <w:p w14:paraId="0FF31AB8" w14:textId="66C6FA18" w:rsidR="00E50424" w:rsidRDefault="00E50424" w:rsidP="007E1074">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he-IL"/>
        </w:rPr>
        <w:t>This policy is specific to compliance with External Conflict of Interest Requirements made by funders and must be read alongside the University’s overarching Declaration of Interest Policy.</w:t>
      </w:r>
    </w:p>
    <w:p w14:paraId="5B607A3E" w14:textId="77777777" w:rsidR="00E50424" w:rsidRDefault="00E50424" w:rsidP="007E1074">
      <w:pPr>
        <w:autoSpaceDE w:val="0"/>
        <w:autoSpaceDN w:val="0"/>
        <w:adjustRightInd w:val="0"/>
        <w:jc w:val="both"/>
        <w:rPr>
          <w:rFonts w:asciiTheme="minorHAnsi" w:hAnsiTheme="minorHAnsi" w:cs="Courier New"/>
          <w:sz w:val="22"/>
          <w:szCs w:val="22"/>
          <w:lang w:bidi="he-IL"/>
        </w:rPr>
      </w:pPr>
    </w:p>
    <w:p w14:paraId="48325669" w14:textId="77777777" w:rsidR="000C538F" w:rsidRDefault="00CA33CC" w:rsidP="00B346E8">
      <w:pPr>
        <w:jc w:val="both"/>
        <w:rPr>
          <w:rFonts w:asciiTheme="minorHAnsi" w:hAnsiTheme="minorHAnsi"/>
          <w:b/>
          <w:bCs/>
          <w:sz w:val="22"/>
          <w:szCs w:val="22"/>
        </w:rPr>
      </w:pPr>
      <w:r w:rsidRPr="008D323E">
        <w:rPr>
          <w:rFonts w:asciiTheme="minorHAnsi" w:hAnsiTheme="minorHAnsi"/>
          <w:b/>
          <w:bCs/>
          <w:sz w:val="22"/>
          <w:szCs w:val="22"/>
        </w:rPr>
        <w:t xml:space="preserve">Declaration of interest </w:t>
      </w:r>
      <w:r w:rsidR="000C538F">
        <w:rPr>
          <w:rFonts w:asciiTheme="minorHAnsi" w:hAnsiTheme="minorHAnsi"/>
          <w:b/>
          <w:bCs/>
          <w:sz w:val="22"/>
          <w:szCs w:val="22"/>
        </w:rPr>
        <w:t xml:space="preserve"> </w:t>
      </w:r>
    </w:p>
    <w:p w14:paraId="2DA30BF1" w14:textId="77777777" w:rsidR="000811CA" w:rsidRPr="00594040" w:rsidRDefault="000811CA" w:rsidP="000A45B7">
      <w:pPr>
        <w:jc w:val="both"/>
        <w:rPr>
          <w:rFonts w:asciiTheme="minorHAnsi" w:hAnsiTheme="minorHAnsi"/>
          <w:sz w:val="22"/>
          <w:szCs w:val="22"/>
        </w:rPr>
      </w:pPr>
    </w:p>
    <w:p w14:paraId="06D1B4DA" w14:textId="283DD112" w:rsidR="00C034E8" w:rsidRDefault="00C034E8" w:rsidP="00C034E8">
      <w:pPr>
        <w:rPr>
          <w:rFonts w:asciiTheme="minorHAnsi" w:hAnsiTheme="minorHAnsi" w:cstheme="minorHAnsi"/>
          <w:sz w:val="22"/>
          <w:szCs w:val="22"/>
        </w:rPr>
      </w:pPr>
      <w:r w:rsidRPr="00CD3FB8">
        <w:rPr>
          <w:rFonts w:asciiTheme="minorHAnsi" w:hAnsiTheme="minorHAnsi" w:cstheme="minorHAnsi"/>
          <w:sz w:val="22"/>
          <w:szCs w:val="22"/>
        </w:rPr>
        <w:t xml:space="preserve">Researchers are in receipt </w:t>
      </w:r>
      <w:r>
        <w:rPr>
          <w:rFonts w:asciiTheme="minorHAnsi" w:hAnsiTheme="minorHAnsi" w:cstheme="minorHAnsi"/>
          <w:sz w:val="22"/>
          <w:szCs w:val="22"/>
        </w:rPr>
        <w:t>of public and private funding and must uphold levels of transparency and accountability in relation to declaration of interest. There may be specific examples w</w:t>
      </w:r>
      <w:r w:rsidR="00775D5E">
        <w:rPr>
          <w:rFonts w:asciiTheme="minorHAnsi" w:hAnsiTheme="minorHAnsi" w:cstheme="minorHAnsi"/>
          <w:sz w:val="22"/>
          <w:szCs w:val="22"/>
        </w:rPr>
        <w:t>h</w:t>
      </w:r>
      <w:r>
        <w:rPr>
          <w:rFonts w:asciiTheme="minorHAnsi" w:hAnsiTheme="minorHAnsi" w:cstheme="minorHAnsi"/>
          <w:sz w:val="22"/>
          <w:szCs w:val="22"/>
        </w:rPr>
        <w:t xml:space="preserve">ere declaration/conflicts of interest may be relevant for researchers including (but not limited to) the following circumstances: </w:t>
      </w:r>
    </w:p>
    <w:p w14:paraId="3613D04D" w14:textId="77777777" w:rsidR="00C034E8" w:rsidRDefault="00C034E8" w:rsidP="00C034E8">
      <w:pPr>
        <w:rPr>
          <w:rFonts w:asciiTheme="minorHAnsi" w:hAnsiTheme="minorHAnsi" w:cstheme="minorHAnsi"/>
          <w:sz w:val="22"/>
          <w:szCs w:val="22"/>
        </w:rPr>
      </w:pPr>
    </w:p>
    <w:p w14:paraId="312ADEA3" w14:textId="39991E2E" w:rsidR="00C034E8" w:rsidRPr="00462466" w:rsidRDefault="00C034E8" w:rsidP="00C034E8">
      <w:pPr>
        <w:rPr>
          <w:rFonts w:asciiTheme="minorHAnsi" w:hAnsiTheme="minorHAnsi" w:cstheme="minorHAnsi"/>
          <w:sz w:val="22"/>
          <w:szCs w:val="22"/>
        </w:rPr>
      </w:pPr>
      <w:r w:rsidRPr="00462466">
        <w:rPr>
          <w:rFonts w:asciiTheme="minorHAnsi" w:hAnsiTheme="minorHAnsi" w:cstheme="minorHAnsi"/>
          <w:b/>
          <w:bCs/>
          <w:sz w:val="22"/>
          <w:szCs w:val="22"/>
        </w:rPr>
        <w:t xml:space="preserve">External work &amp; appointments </w:t>
      </w:r>
      <w:r w:rsidRPr="00462466">
        <w:rPr>
          <w:rFonts w:asciiTheme="minorHAnsi" w:hAnsiTheme="minorHAnsi" w:cstheme="minorHAnsi"/>
          <w:sz w:val="22"/>
          <w:szCs w:val="22"/>
        </w:rPr>
        <w:t xml:space="preserve">(external work, starting a new business, consultancy, board member, advisory work, directorships etc) – Approval should be sought from </w:t>
      </w:r>
      <w:r w:rsidR="00775D5E">
        <w:rPr>
          <w:rFonts w:asciiTheme="minorHAnsi" w:hAnsiTheme="minorHAnsi" w:cstheme="minorHAnsi"/>
          <w:sz w:val="22"/>
          <w:szCs w:val="22"/>
        </w:rPr>
        <w:t>the Head of HR Operations and the relevant line manager</w:t>
      </w:r>
      <w:r w:rsidRPr="00462466">
        <w:rPr>
          <w:rFonts w:asciiTheme="minorHAnsi" w:hAnsiTheme="minorHAnsi" w:cstheme="minorHAnsi"/>
          <w:sz w:val="22"/>
          <w:szCs w:val="22"/>
        </w:rPr>
        <w:t xml:space="preserve"> for outside work and the holding of outside appointments, as set out in the regulations and the associated policy. </w:t>
      </w:r>
    </w:p>
    <w:p w14:paraId="54ABDCCB" w14:textId="77777777" w:rsidR="00C034E8" w:rsidRDefault="00C034E8" w:rsidP="00C034E8">
      <w:pPr>
        <w:rPr>
          <w:rFonts w:asciiTheme="minorHAnsi" w:hAnsiTheme="minorHAnsi" w:cstheme="minorHAnsi"/>
          <w:b/>
          <w:bCs/>
          <w:sz w:val="22"/>
          <w:szCs w:val="22"/>
        </w:rPr>
      </w:pPr>
    </w:p>
    <w:p w14:paraId="60423FD2" w14:textId="7902E5F7" w:rsidR="00C034E8" w:rsidRDefault="00C034E8" w:rsidP="00C034E8">
      <w:pPr>
        <w:rPr>
          <w:rFonts w:asciiTheme="minorHAnsi" w:hAnsiTheme="minorHAnsi" w:cstheme="minorHAnsi"/>
          <w:sz w:val="22"/>
          <w:szCs w:val="22"/>
        </w:rPr>
      </w:pPr>
      <w:r w:rsidRPr="00CD3FB8">
        <w:rPr>
          <w:rFonts w:asciiTheme="minorHAnsi" w:hAnsiTheme="minorHAnsi" w:cstheme="minorHAnsi"/>
          <w:b/>
          <w:bCs/>
          <w:sz w:val="22"/>
          <w:szCs w:val="22"/>
        </w:rPr>
        <w:t>Spin out companies</w:t>
      </w:r>
      <w:r w:rsidRPr="00CD3FB8">
        <w:rPr>
          <w:rFonts w:asciiTheme="minorHAnsi" w:hAnsiTheme="minorHAnsi" w:cstheme="minorHAnsi"/>
          <w:sz w:val="22"/>
          <w:szCs w:val="22"/>
        </w:rPr>
        <w:t xml:space="preserve"> - All academics involved in the formation of a new spinout should complete a </w:t>
      </w:r>
      <w:proofErr w:type="gramStart"/>
      <w:r w:rsidRPr="00CD3FB8">
        <w:rPr>
          <w:rFonts w:asciiTheme="minorHAnsi" w:hAnsiTheme="minorHAnsi" w:cstheme="minorHAnsi"/>
          <w:sz w:val="22"/>
          <w:szCs w:val="22"/>
        </w:rPr>
        <w:t>conflict of interest</w:t>
      </w:r>
      <w:proofErr w:type="gramEnd"/>
      <w:r w:rsidRPr="00CD3FB8">
        <w:rPr>
          <w:rFonts w:asciiTheme="minorHAnsi" w:hAnsiTheme="minorHAnsi" w:cstheme="minorHAnsi"/>
          <w:sz w:val="22"/>
          <w:szCs w:val="22"/>
        </w:rPr>
        <w:t xml:space="preserve"> management plan</w:t>
      </w:r>
      <w:r w:rsidR="00196118">
        <w:rPr>
          <w:rStyle w:val="FootnoteReference"/>
          <w:rFonts w:asciiTheme="minorHAnsi" w:hAnsiTheme="minorHAnsi" w:cstheme="minorHAnsi"/>
          <w:sz w:val="22"/>
          <w:szCs w:val="22"/>
        </w:rPr>
        <w:footnoteReference w:id="1"/>
      </w:r>
      <w:r w:rsidRPr="00CD3FB8">
        <w:rPr>
          <w:rFonts w:asciiTheme="minorHAnsi" w:hAnsiTheme="minorHAnsi" w:cstheme="minorHAnsi"/>
          <w:sz w:val="22"/>
          <w:szCs w:val="22"/>
        </w:rPr>
        <w:t xml:space="preserve">, which is to be reviewed by </w:t>
      </w:r>
      <w:r>
        <w:rPr>
          <w:rFonts w:asciiTheme="minorHAnsi" w:hAnsiTheme="minorHAnsi" w:cstheme="minorHAnsi"/>
          <w:sz w:val="22"/>
          <w:szCs w:val="22"/>
        </w:rPr>
        <w:t xml:space="preserve">Research and innovation Services </w:t>
      </w:r>
      <w:r w:rsidRPr="00CD3FB8">
        <w:rPr>
          <w:rFonts w:asciiTheme="minorHAnsi" w:hAnsiTheme="minorHAnsi" w:cstheme="minorHAnsi"/>
          <w:sz w:val="22"/>
          <w:szCs w:val="22"/>
        </w:rPr>
        <w:t>and approved by the Director of Research and Innovation before the initial investment can go through.</w:t>
      </w:r>
    </w:p>
    <w:p w14:paraId="68974097" w14:textId="77777777" w:rsidR="00C034E8" w:rsidRPr="00CD3FB8" w:rsidRDefault="00C034E8" w:rsidP="00C034E8">
      <w:pPr>
        <w:rPr>
          <w:rFonts w:asciiTheme="minorHAnsi" w:hAnsiTheme="minorHAnsi" w:cstheme="minorHAnsi"/>
          <w:sz w:val="22"/>
          <w:szCs w:val="22"/>
        </w:rPr>
      </w:pPr>
    </w:p>
    <w:p w14:paraId="163A001C" w14:textId="7F259E89" w:rsidR="00196118" w:rsidRPr="00196118" w:rsidRDefault="00C034E8" w:rsidP="00196118">
      <w:pPr>
        <w:rPr>
          <w:rFonts w:asciiTheme="minorHAnsi" w:hAnsiTheme="minorHAnsi" w:cstheme="minorHAnsi"/>
          <w:bCs/>
          <w:sz w:val="22"/>
          <w:szCs w:val="22"/>
        </w:rPr>
      </w:pPr>
      <w:r w:rsidRPr="00CD3FB8">
        <w:rPr>
          <w:rFonts w:asciiTheme="minorHAnsi" w:hAnsiTheme="minorHAnsi" w:cstheme="minorHAnsi"/>
          <w:b/>
          <w:bCs/>
          <w:sz w:val="22"/>
          <w:szCs w:val="22"/>
        </w:rPr>
        <w:t>Intellectual property</w:t>
      </w:r>
      <w:r w:rsidRPr="00CD3FB8">
        <w:rPr>
          <w:rFonts w:asciiTheme="minorHAnsi" w:hAnsiTheme="minorHAnsi" w:cstheme="minorHAnsi"/>
          <w:sz w:val="22"/>
          <w:szCs w:val="22"/>
        </w:rPr>
        <w:t xml:space="preserve"> - If a researcher has a financial interest in the licensee (or proposed licensee) of University intellectual property they should disclose this, and step back from the negotiations, which should be managed by </w:t>
      </w:r>
      <w:r w:rsidR="00196118">
        <w:rPr>
          <w:rFonts w:asciiTheme="minorHAnsi" w:hAnsiTheme="minorHAnsi" w:cstheme="minorHAnsi"/>
          <w:sz w:val="22"/>
          <w:szCs w:val="22"/>
        </w:rPr>
        <w:t xml:space="preserve">the </w:t>
      </w:r>
      <w:r w:rsidR="00196118" w:rsidRPr="00196118">
        <w:rPr>
          <w:rFonts w:asciiTheme="minorHAnsi" w:hAnsiTheme="minorHAnsi" w:cstheme="minorHAnsi"/>
          <w:bCs/>
          <w:sz w:val="22"/>
          <w:szCs w:val="22"/>
        </w:rPr>
        <w:t xml:space="preserve">Deputy Director and Head of Commercial Development. </w:t>
      </w:r>
    </w:p>
    <w:p w14:paraId="477AEA0E" w14:textId="77777777" w:rsidR="00C034E8" w:rsidRDefault="00C034E8" w:rsidP="00C034E8">
      <w:pPr>
        <w:rPr>
          <w:rFonts w:asciiTheme="minorHAnsi" w:hAnsiTheme="minorHAnsi" w:cstheme="minorHAnsi"/>
          <w:sz w:val="22"/>
          <w:szCs w:val="22"/>
        </w:rPr>
      </w:pPr>
    </w:p>
    <w:p w14:paraId="5171FC44" w14:textId="77777777" w:rsidR="00C034E8" w:rsidRPr="004A0CC1" w:rsidRDefault="00C034E8" w:rsidP="00C034E8">
      <w:pPr>
        <w:rPr>
          <w:rFonts w:asciiTheme="minorHAnsi" w:hAnsiTheme="minorHAnsi" w:cstheme="minorHAnsi"/>
          <w:sz w:val="22"/>
          <w:szCs w:val="22"/>
        </w:rPr>
      </w:pPr>
      <w:r w:rsidRPr="00CD3FB8">
        <w:rPr>
          <w:rFonts w:asciiTheme="minorHAnsi" w:hAnsiTheme="minorHAnsi" w:cstheme="minorHAnsi"/>
          <w:b/>
          <w:bCs/>
          <w:sz w:val="22"/>
          <w:szCs w:val="22"/>
        </w:rPr>
        <w:t>Publishing</w:t>
      </w:r>
      <w:r w:rsidRPr="00CD3FB8">
        <w:rPr>
          <w:rFonts w:asciiTheme="minorHAnsi" w:hAnsiTheme="minorHAnsi" w:cstheme="minorHAnsi"/>
          <w:sz w:val="22"/>
          <w:szCs w:val="22"/>
        </w:rPr>
        <w:t xml:space="preserve"> - Authors submitting a manuscript should disclose any ‘significant financial interest’ or other relationship with the manufacturers of any commercial products or providers of commercial services discussed in the manuscript and any financial supporters of the research. The intent of such disclosures is not to prevent an author with a significant financial or other relationship from publishing a paper</w:t>
      </w:r>
      <w:r>
        <w:rPr>
          <w:rFonts w:asciiTheme="minorHAnsi" w:hAnsiTheme="minorHAnsi" w:cstheme="minorHAnsi"/>
          <w:sz w:val="22"/>
          <w:szCs w:val="22"/>
        </w:rPr>
        <w:t xml:space="preserve"> </w:t>
      </w:r>
      <w:r w:rsidRPr="00CD3FB8">
        <w:rPr>
          <w:rFonts w:asciiTheme="minorHAnsi" w:hAnsiTheme="minorHAnsi" w:cstheme="minorHAnsi"/>
          <w:sz w:val="22"/>
          <w:szCs w:val="22"/>
        </w:rPr>
        <w:t>but to provide readers with information upon which to make their own judgements.</w:t>
      </w:r>
      <w:r>
        <w:rPr>
          <w:rFonts w:asciiTheme="minorHAnsi" w:hAnsiTheme="minorHAnsi" w:cstheme="minorHAnsi"/>
          <w:sz w:val="22"/>
          <w:szCs w:val="22"/>
        </w:rPr>
        <w:t xml:space="preserve"> </w:t>
      </w:r>
      <w:r w:rsidRPr="004A0CC1">
        <w:rPr>
          <w:rFonts w:asciiTheme="minorHAnsi" w:hAnsiTheme="minorHAnsi" w:cstheme="minorHAnsi"/>
          <w:sz w:val="22"/>
          <w:szCs w:val="22"/>
        </w:rPr>
        <w:t>Those acting in peer review or advisory roles (</w:t>
      </w:r>
      <w:proofErr w:type="spellStart"/>
      <w:proofErr w:type="gramStart"/>
      <w:r w:rsidRPr="004A0CC1">
        <w:rPr>
          <w:rFonts w:asciiTheme="minorHAnsi" w:hAnsiTheme="minorHAnsi" w:cstheme="minorHAnsi"/>
          <w:sz w:val="22"/>
          <w:szCs w:val="22"/>
        </w:rPr>
        <w:t>eg</w:t>
      </w:r>
      <w:proofErr w:type="spellEnd"/>
      <w:proofErr w:type="gramEnd"/>
      <w:r w:rsidRPr="004A0CC1">
        <w:rPr>
          <w:rFonts w:asciiTheme="minorHAnsi" w:hAnsiTheme="minorHAnsi" w:cstheme="minorHAnsi"/>
          <w:sz w:val="22"/>
          <w:szCs w:val="22"/>
        </w:rPr>
        <w:t xml:space="preserve"> related to grant proposals, journal manuscripts, research policy) should </w:t>
      </w:r>
      <w:r>
        <w:rPr>
          <w:rFonts w:asciiTheme="minorHAnsi" w:hAnsiTheme="minorHAnsi" w:cstheme="minorHAnsi"/>
          <w:sz w:val="22"/>
          <w:szCs w:val="22"/>
        </w:rPr>
        <w:t xml:space="preserve">also </w:t>
      </w:r>
      <w:r w:rsidRPr="004A0CC1">
        <w:rPr>
          <w:rFonts w:asciiTheme="minorHAnsi" w:hAnsiTheme="minorHAnsi" w:cstheme="minorHAnsi"/>
          <w:sz w:val="22"/>
          <w:szCs w:val="22"/>
        </w:rPr>
        <w:t>disclose any conflicts of interest</w:t>
      </w:r>
      <w:r>
        <w:rPr>
          <w:rFonts w:asciiTheme="minorHAnsi" w:hAnsiTheme="minorHAnsi" w:cstheme="minorHAnsi"/>
          <w:sz w:val="22"/>
          <w:szCs w:val="22"/>
        </w:rPr>
        <w:t>.</w:t>
      </w:r>
    </w:p>
    <w:p w14:paraId="1CE7AD19" w14:textId="77777777" w:rsidR="00C034E8" w:rsidRPr="00CD3FB8" w:rsidRDefault="00C034E8" w:rsidP="00C034E8">
      <w:pPr>
        <w:rPr>
          <w:rFonts w:asciiTheme="minorHAnsi" w:hAnsiTheme="minorHAnsi" w:cstheme="minorHAnsi"/>
          <w:sz w:val="22"/>
          <w:szCs w:val="22"/>
        </w:rPr>
      </w:pPr>
    </w:p>
    <w:p w14:paraId="7EE85D3D" w14:textId="77777777" w:rsidR="00C034E8" w:rsidRPr="00CD3FB8" w:rsidRDefault="00C034E8" w:rsidP="00C034E8">
      <w:pPr>
        <w:rPr>
          <w:rFonts w:asciiTheme="minorHAnsi" w:hAnsiTheme="minorHAnsi" w:cstheme="minorHAnsi"/>
          <w:sz w:val="22"/>
          <w:szCs w:val="22"/>
        </w:rPr>
      </w:pPr>
      <w:r w:rsidRPr="00CD3FB8">
        <w:rPr>
          <w:rFonts w:asciiTheme="minorHAnsi" w:hAnsiTheme="minorHAnsi" w:cstheme="minorHAnsi"/>
          <w:b/>
          <w:bCs/>
          <w:sz w:val="22"/>
          <w:szCs w:val="22"/>
        </w:rPr>
        <w:t>Grants/negotiating contracts</w:t>
      </w:r>
      <w:r w:rsidRPr="00CD3FB8">
        <w:rPr>
          <w:rFonts w:asciiTheme="minorHAnsi" w:hAnsiTheme="minorHAnsi" w:cstheme="minorHAnsi"/>
          <w:sz w:val="22"/>
          <w:szCs w:val="22"/>
        </w:rPr>
        <w:t xml:space="preserve"> - Staff and students should declare all interests when applying for grants, negotiating contracts etc. </w:t>
      </w:r>
      <w:proofErr w:type="gramStart"/>
      <w:r w:rsidRPr="00CD3FB8">
        <w:rPr>
          <w:rFonts w:asciiTheme="minorHAnsi" w:hAnsiTheme="minorHAnsi" w:cstheme="minorHAnsi"/>
          <w:sz w:val="22"/>
          <w:szCs w:val="22"/>
        </w:rPr>
        <w:t>In particular, financial</w:t>
      </w:r>
      <w:proofErr w:type="gramEnd"/>
      <w:r w:rsidRPr="00CD3FB8">
        <w:rPr>
          <w:rFonts w:asciiTheme="minorHAnsi" w:hAnsiTheme="minorHAnsi" w:cstheme="minorHAnsi"/>
          <w:sz w:val="22"/>
          <w:szCs w:val="22"/>
        </w:rPr>
        <w:t xml:space="preserve"> conflicts need to be declared to avoid doubts being cast over the validity of research, and subsequent potential reputational damage.</w:t>
      </w:r>
    </w:p>
    <w:p w14:paraId="334DE01A" w14:textId="77777777" w:rsidR="00C034E8" w:rsidRPr="00CD3FB8" w:rsidRDefault="00C034E8" w:rsidP="00C034E8">
      <w:pPr>
        <w:rPr>
          <w:rFonts w:asciiTheme="minorHAnsi" w:hAnsiTheme="minorHAnsi" w:cstheme="minorHAnsi"/>
          <w:sz w:val="22"/>
          <w:szCs w:val="22"/>
        </w:rPr>
      </w:pPr>
    </w:p>
    <w:p w14:paraId="4D9B117F" w14:textId="7D28B0B7" w:rsidR="00C034E8" w:rsidRDefault="00C034E8" w:rsidP="00C034E8">
      <w:pPr>
        <w:rPr>
          <w:rFonts w:asciiTheme="minorHAnsi" w:hAnsiTheme="minorHAnsi" w:cstheme="minorHAnsi"/>
          <w:sz w:val="22"/>
          <w:szCs w:val="22"/>
        </w:rPr>
      </w:pPr>
      <w:r w:rsidRPr="00CD3FB8">
        <w:rPr>
          <w:rFonts w:asciiTheme="minorHAnsi" w:hAnsiTheme="minorHAnsi" w:cstheme="minorHAnsi"/>
          <w:b/>
          <w:bCs/>
          <w:sz w:val="22"/>
          <w:szCs w:val="22"/>
        </w:rPr>
        <w:t>Employing family members</w:t>
      </w:r>
      <w:r w:rsidRPr="00CD3FB8">
        <w:rPr>
          <w:rFonts w:asciiTheme="minorHAnsi" w:hAnsiTheme="minorHAnsi" w:cstheme="minorHAnsi"/>
          <w:sz w:val="22"/>
          <w:szCs w:val="22"/>
        </w:rPr>
        <w:t xml:space="preserve"> – particular care should be taken to when employing family members/those in close personal relationships</w:t>
      </w:r>
      <w:r w:rsidR="00AC0E53">
        <w:rPr>
          <w:rFonts w:asciiTheme="minorHAnsi" w:hAnsiTheme="minorHAnsi" w:cstheme="minorHAnsi"/>
          <w:sz w:val="22"/>
          <w:szCs w:val="22"/>
        </w:rPr>
        <w:t xml:space="preserve">. All decision-making around recruitment of staff must be in line with the University’s Recruitment and Selection Policy. </w:t>
      </w:r>
    </w:p>
    <w:p w14:paraId="50FB1CFD" w14:textId="77777777" w:rsidR="00C034E8" w:rsidRDefault="00C034E8" w:rsidP="00C034E8">
      <w:pPr>
        <w:rPr>
          <w:rFonts w:asciiTheme="minorHAnsi" w:hAnsiTheme="minorHAnsi" w:cstheme="minorHAnsi"/>
          <w:sz w:val="22"/>
          <w:szCs w:val="22"/>
        </w:rPr>
      </w:pPr>
    </w:p>
    <w:p w14:paraId="4C93E64F" w14:textId="77777777" w:rsidR="00C034E8" w:rsidRPr="008240BD" w:rsidRDefault="00C034E8" w:rsidP="00C034E8">
      <w:pPr>
        <w:rPr>
          <w:rFonts w:asciiTheme="minorHAnsi" w:hAnsiTheme="minorHAnsi" w:cstheme="minorHAnsi"/>
          <w:sz w:val="22"/>
          <w:szCs w:val="22"/>
        </w:rPr>
      </w:pPr>
      <w:r w:rsidRPr="00462466">
        <w:rPr>
          <w:rFonts w:asciiTheme="minorHAnsi" w:hAnsiTheme="minorHAnsi" w:cstheme="minorHAnsi"/>
          <w:b/>
          <w:bCs/>
          <w:sz w:val="22"/>
          <w:szCs w:val="22"/>
        </w:rPr>
        <w:t>Close family/personal relationships with students</w:t>
      </w:r>
      <w:r>
        <w:rPr>
          <w:rFonts w:asciiTheme="minorHAnsi" w:hAnsiTheme="minorHAnsi" w:cstheme="minorHAnsi"/>
          <w:sz w:val="22"/>
          <w:szCs w:val="22"/>
        </w:rPr>
        <w:t xml:space="preserve"> - s</w:t>
      </w:r>
      <w:r w:rsidRPr="008240BD">
        <w:rPr>
          <w:rFonts w:asciiTheme="minorHAnsi" w:hAnsiTheme="minorHAnsi" w:cstheme="minorHAnsi"/>
          <w:sz w:val="22"/>
          <w:szCs w:val="22"/>
        </w:rPr>
        <w:t xml:space="preserve">taff with a close personal or familial relationship with a student or a student’s family should not be involved in decisions about that student’s admission, supervision or academic progress, or the award of any studentships, </w:t>
      </w:r>
      <w:proofErr w:type="gramStart"/>
      <w:r w:rsidRPr="008240BD">
        <w:rPr>
          <w:rFonts w:asciiTheme="minorHAnsi" w:hAnsiTheme="minorHAnsi" w:cstheme="minorHAnsi"/>
          <w:sz w:val="22"/>
          <w:szCs w:val="22"/>
        </w:rPr>
        <w:t>prizes</w:t>
      </w:r>
      <w:proofErr w:type="gramEnd"/>
      <w:r w:rsidRPr="008240BD">
        <w:rPr>
          <w:rFonts w:asciiTheme="minorHAnsi" w:hAnsiTheme="minorHAnsi" w:cstheme="minorHAnsi"/>
          <w:sz w:val="22"/>
          <w:szCs w:val="22"/>
        </w:rPr>
        <w:t xml:space="preserve"> or other grants to the student.</w:t>
      </w:r>
    </w:p>
    <w:p w14:paraId="60F73AB7" w14:textId="77777777" w:rsidR="00C034E8" w:rsidRDefault="00C034E8" w:rsidP="00C034E8">
      <w:pPr>
        <w:rPr>
          <w:rFonts w:asciiTheme="minorHAnsi" w:hAnsiTheme="minorHAnsi" w:cstheme="minorHAnsi"/>
          <w:sz w:val="22"/>
          <w:szCs w:val="22"/>
        </w:rPr>
      </w:pPr>
    </w:p>
    <w:p w14:paraId="07946C67" w14:textId="110EFF9F" w:rsidR="00C034E8" w:rsidRDefault="00C034E8" w:rsidP="00C034E8">
      <w:pPr>
        <w:rPr>
          <w:rFonts w:asciiTheme="minorHAnsi" w:hAnsiTheme="minorHAnsi" w:cstheme="minorHAnsi"/>
          <w:sz w:val="22"/>
          <w:szCs w:val="22"/>
        </w:rPr>
      </w:pPr>
      <w:r w:rsidRPr="008240BD">
        <w:rPr>
          <w:rFonts w:asciiTheme="minorHAnsi" w:hAnsiTheme="minorHAnsi" w:cstheme="minorHAnsi"/>
          <w:b/>
          <w:bCs/>
          <w:sz w:val="22"/>
          <w:szCs w:val="22"/>
        </w:rPr>
        <w:t>Use of University resources</w:t>
      </w:r>
      <w:r>
        <w:rPr>
          <w:rFonts w:asciiTheme="minorHAnsi" w:hAnsiTheme="minorHAnsi" w:cstheme="minorHAnsi"/>
          <w:sz w:val="22"/>
          <w:szCs w:val="22"/>
        </w:rPr>
        <w:t xml:space="preserve"> - </w:t>
      </w:r>
      <w:r w:rsidRPr="008240BD">
        <w:rPr>
          <w:rFonts w:asciiTheme="minorHAnsi" w:hAnsiTheme="minorHAnsi" w:cstheme="minorHAnsi"/>
          <w:sz w:val="22"/>
          <w:szCs w:val="22"/>
        </w:rPr>
        <w:t xml:space="preserve">Members of staff should not make use of University resources when undertaking consultancy work or work for external </w:t>
      </w:r>
      <w:proofErr w:type="gramStart"/>
      <w:r w:rsidRPr="008240BD">
        <w:rPr>
          <w:rFonts w:asciiTheme="minorHAnsi" w:hAnsiTheme="minorHAnsi" w:cstheme="minorHAnsi"/>
          <w:sz w:val="22"/>
          <w:szCs w:val="22"/>
        </w:rPr>
        <w:t>organisations, unless</w:t>
      </w:r>
      <w:proofErr w:type="gramEnd"/>
      <w:r w:rsidRPr="008240BD">
        <w:rPr>
          <w:rFonts w:asciiTheme="minorHAnsi" w:hAnsiTheme="minorHAnsi" w:cstheme="minorHAnsi"/>
          <w:sz w:val="22"/>
          <w:szCs w:val="22"/>
        </w:rPr>
        <w:t xml:space="preserve"> express permission has been granted by</w:t>
      </w:r>
      <w:r>
        <w:rPr>
          <w:rFonts w:asciiTheme="minorHAnsi" w:hAnsiTheme="minorHAnsi" w:cstheme="minorHAnsi"/>
          <w:sz w:val="22"/>
          <w:szCs w:val="22"/>
        </w:rPr>
        <w:t xml:space="preserve"> </w:t>
      </w:r>
      <w:r w:rsidR="00AC0E53">
        <w:rPr>
          <w:rFonts w:asciiTheme="minorHAnsi" w:hAnsiTheme="minorHAnsi" w:cstheme="minorHAnsi"/>
          <w:sz w:val="22"/>
          <w:szCs w:val="22"/>
        </w:rPr>
        <w:t>their line manager and Head of School/Department.</w:t>
      </w:r>
      <w:r>
        <w:rPr>
          <w:rFonts w:asciiTheme="minorHAnsi" w:hAnsiTheme="minorHAnsi" w:cstheme="minorHAnsi"/>
          <w:sz w:val="22"/>
          <w:szCs w:val="22"/>
        </w:rPr>
        <w:t xml:space="preserve"> Similarly, resources from an external organisation should not be used in the individual’s role at the University unless express permission has been granted by </w:t>
      </w:r>
      <w:r w:rsidR="00AC0E53">
        <w:rPr>
          <w:rFonts w:asciiTheme="minorHAnsi" w:hAnsiTheme="minorHAnsi" w:cstheme="minorHAnsi"/>
          <w:sz w:val="22"/>
          <w:szCs w:val="22"/>
        </w:rPr>
        <w:t>their line manager and Head of School/Department a</w:t>
      </w:r>
      <w:r>
        <w:rPr>
          <w:rFonts w:asciiTheme="minorHAnsi" w:hAnsiTheme="minorHAnsi" w:cstheme="minorHAnsi"/>
          <w:sz w:val="22"/>
          <w:szCs w:val="22"/>
        </w:rPr>
        <w:t xml:space="preserve">s this could be interpreted as endorsement by the University of that resource. </w:t>
      </w:r>
    </w:p>
    <w:p w14:paraId="640F70CD" w14:textId="77777777" w:rsidR="00C034E8" w:rsidRPr="00CD3FB8" w:rsidRDefault="00C034E8" w:rsidP="00C034E8">
      <w:pPr>
        <w:rPr>
          <w:rFonts w:asciiTheme="minorHAnsi" w:hAnsiTheme="minorHAnsi" w:cstheme="minorHAnsi"/>
          <w:sz w:val="22"/>
          <w:szCs w:val="22"/>
        </w:rPr>
      </w:pPr>
    </w:p>
    <w:p w14:paraId="3F6749F4" w14:textId="77777777" w:rsidR="00C034E8" w:rsidRDefault="00C034E8" w:rsidP="00C034E8">
      <w:pPr>
        <w:rPr>
          <w:rFonts w:asciiTheme="minorHAnsi" w:hAnsiTheme="minorHAnsi" w:cstheme="minorHAnsi"/>
          <w:sz w:val="22"/>
          <w:szCs w:val="22"/>
        </w:rPr>
      </w:pPr>
      <w:r>
        <w:rPr>
          <w:rFonts w:asciiTheme="minorHAnsi" w:hAnsiTheme="minorHAnsi" w:cstheme="minorHAnsi"/>
          <w:b/>
          <w:bCs/>
          <w:sz w:val="22"/>
          <w:szCs w:val="22"/>
        </w:rPr>
        <w:t xml:space="preserve">Procurement/contract negotiation - </w:t>
      </w:r>
      <w:r w:rsidRPr="00462466">
        <w:rPr>
          <w:rFonts w:asciiTheme="minorHAnsi" w:hAnsiTheme="minorHAnsi" w:cstheme="minorHAnsi"/>
          <w:sz w:val="22"/>
          <w:szCs w:val="22"/>
        </w:rPr>
        <w:t>If a member of staff has a conflict of interest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w:t>
      </w:r>
      <w:r w:rsidRPr="00462466">
        <w:rPr>
          <w:rFonts w:asciiTheme="minorHAnsi" w:hAnsiTheme="minorHAnsi" w:cstheme="minorHAnsi"/>
          <w:sz w:val="22"/>
          <w:szCs w:val="22"/>
        </w:rPr>
        <w:t>arising from a personal relationship or an outside appointment) relating to the procurement of goods and services, they cannot be involved in the purchasing decision</w:t>
      </w:r>
      <w:r>
        <w:rPr>
          <w:rFonts w:asciiTheme="minorHAnsi" w:hAnsiTheme="minorHAnsi" w:cstheme="minorHAnsi"/>
          <w:sz w:val="22"/>
          <w:szCs w:val="22"/>
        </w:rPr>
        <w:t xml:space="preserve"> or contract negotiation. </w:t>
      </w:r>
    </w:p>
    <w:p w14:paraId="788CFB8A" w14:textId="77777777" w:rsidR="00C034E8" w:rsidRDefault="00C034E8" w:rsidP="00C034E8">
      <w:pPr>
        <w:rPr>
          <w:rFonts w:asciiTheme="minorHAnsi" w:hAnsiTheme="minorHAnsi" w:cstheme="minorHAnsi"/>
          <w:sz w:val="22"/>
          <w:szCs w:val="22"/>
        </w:rPr>
      </w:pPr>
    </w:p>
    <w:p w14:paraId="539ADE88" w14:textId="6711029F" w:rsidR="00C034E8" w:rsidRPr="004A0CC1" w:rsidRDefault="00C034E8" w:rsidP="00C034E8">
      <w:pPr>
        <w:rPr>
          <w:rFonts w:asciiTheme="minorHAnsi" w:hAnsiTheme="minorHAnsi" w:cstheme="minorHAnsi"/>
          <w:sz w:val="22"/>
          <w:szCs w:val="22"/>
        </w:rPr>
      </w:pPr>
      <w:r>
        <w:rPr>
          <w:rFonts w:asciiTheme="minorHAnsi" w:hAnsiTheme="minorHAnsi" w:cstheme="minorHAnsi"/>
          <w:sz w:val="22"/>
          <w:szCs w:val="22"/>
        </w:rPr>
        <w:t xml:space="preserve">In addition to the requirements of the University under </w:t>
      </w:r>
      <w:r w:rsidR="00C67AB8">
        <w:rPr>
          <w:rFonts w:asciiTheme="minorHAnsi" w:hAnsiTheme="minorHAnsi" w:cstheme="minorHAnsi"/>
          <w:sz w:val="22"/>
          <w:szCs w:val="22"/>
        </w:rPr>
        <w:t>the Declaration of Interest Policy</w:t>
      </w:r>
      <w:r>
        <w:rPr>
          <w:rFonts w:asciiTheme="minorHAnsi" w:hAnsiTheme="minorHAnsi" w:cstheme="minorHAnsi"/>
          <w:sz w:val="22"/>
          <w:szCs w:val="22"/>
        </w:rPr>
        <w:t xml:space="preserve"> and procedure, s</w:t>
      </w:r>
      <w:r w:rsidRPr="004A0CC1">
        <w:rPr>
          <w:rFonts w:asciiTheme="minorHAnsi" w:hAnsiTheme="minorHAnsi" w:cstheme="minorHAnsi"/>
          <w:sz w:val="22"/>
          <w:szCs w:val="22"/>
        </w:rPr>
        <w:t>ome funders may require direct notification of certain interests, and/or reserve the right to review a plan for managing a conflict of interest, and/or prohibit grant holders from undertaking certain activities.</w:t>
      </w:r>
      <w:r w:rsidR="00C67AB8">
        <w:rPr>
          <w:rFonts w:asciiTheme="minorHAnsi" w:hAnsiTheme="minorHAnsi" w:cstheme="minorHAnsi"/>
          <w:sz w:val="22"/>
          <w:szCs w:val="22"/>
        </w:rPr>
        <w:t xml:space="preserve"> </w:t>
      </w:r>
    </w:p>
    <w:p w14:paraId="2310FB8C" w14:textId="5CAEE01E" w:rsidR="00590EAE" w:rsidRPr="00636FC4" w:rsidRDefault="00590EAE" w:rsidP="00636FC4">
      <w:pPr>
        <w:rPr>
          <w:rFonts w:asciiTheme="minorHAnsi" w:hAnsiTheme="minorHAnsi" w:cstheme="minorHAnsi"/>
          <w:sz w:val="22"/>
          <w:szCs w:val="22"/>
        </w:rPr>
      </w:pPr>
    </w:p>
    <w:p w14:paraId="5F680E2C" w14:textId="27479649" w:rsidR="000811CA" w:rsidRPr="006A1E2D" w:rsidRDefault="00775D5E" w:rsidP="00AF4B46">
      <w:pPr>
        <w:autoSpaceDE w:val="0"/>
        <w:autoSpaceDN w:val="0"/>
        <w:adjustRightInd w:val="0"/>
        <w:jc w:val="both"/>
        <w:rPr>
          <w:rFonts w:asciiTheme="minorHAnsi" w:hAnsiTheme="minorHAnsi" w:cs="Arial"/>
          <w:b/>
          <w:color w:val="292526"/>
          <w:lang w:bidi="he-IL"/>
        </w:rPr>
      </w:pPr>
      <w:r w:rsidRPr="006A1E2D">
        <w:rPr>
          <w:rFonts w:asciiTheme="minorHAnsi" w:hAnsiTheme="minorHAnsi" w:cs="Arial"/>
          <w:b/>
          <w:color w:val="292526"/>
          <w:lang w:bidi="he-IL"/>
        </w:rPr>
        <w:t>US National Institutes of Health (NIH): financial conflict of interest</w:t>
      </w:r>
    </w:p>
    <w:p w14:paraId="0313C3EC" w14:textId="762D2163" w:rsidR="00D76992" w:rsidRDefault="006A1E2D" w:rsidP="000811CA">
      <w:pPr>
        <w:autoSpaceDE w:val="0"/>
        <w:autoSpaceDN w:val="0"/>
        <w:adjustRightInd w:val="0"/>
        <w:jc w:val="both"/>
        <w:rPr>
          <w:rFonts w:asciiTheme="minorHAnsi" w:hAnsiTheme="minorHAnsi" w:cs="Arial"/>
          <w:color w:val="292526"/>
          <w:sz w:val="22"/>
          <w:szCs w:val="22"/>
          <w:lang w:bidi="he-IL"/>
        </w:rPr>
      </w:pPr>
      <w:r w:rsidRPr="006A1E2D">
        <w:rPr>
          <w:rFonts w:asciiTheme="minorHAnsi" w:hAnsiTheme="minorHAnsi" w:cs="Arial"/>
          <w:color w:val="292526"/>
          <w:sz w:val="22"/>
          <w:szCs w:val="22"/>
          <w:lang w:bidi="he-IL"/>
        </w:rPr>
        <w:t>The 2012 US Department of Health and Human Services regulations on disclosing and reporting conflicts of interest for researchers funded via its Public Health Service (which includes the NIH) include</w:t>
      </w:r>
      <w:r>
        <w:rPr>
          <w:rFonts w:asciiTheme="minorHAnsi" w:hAnsiTheme="minorHAnsi" w:cs="Arial"/>
          <w:color w:val="292526"/>
          <w:sz w:val="22"/>
          <w:szCs w:val="22"/>
          <w:lang w:bidi="he-IL"/>
        </w:rPr>
        <w:t xml:space="preserve"> specific requirements regarding financial conflicts of interest.</w:t>
      </w:r>
    </w:p>
    <w:p w14:paraId="1A3351FC" w14:textId="5C5C5D32" w:rsidR="00585934" w:rsidRDefault="00585934" w:rsidP="00D76992">
      <w:pPr>
        <w:jc w:val="both"/>
        <w:rPr>
          <w:rFonts w:asciiTheme="minorHAnsi" w:hAnsiTheme="minorHAnsi" w:cs="Arial"/>
          <w:b/>
          <w:color w:val="292526"/>
          <w:sz w:val="22"/>
          <w:szCs w:val="22"/>
          <w:lang w:bidi="he-IL"/>
        </w:rPr>
      </w:pPr>
    </w:p>
    <w:p w14:paraId="62A5C8DB" w14:textId="15574F8E" w:rsidR="00C67AB8" w:rsidRPr="00C67AB8" w:rsidRDefault="00C67AB8" w:rsidP="006A1E2D">
      <w:pPr>
        <w:autoSpaceDE w:val="0"/>
        <w:autoSpaceDN w:val="0"/>
        <w:adjustRightInd w:val="0"/>
        <w:jc w:val="both"/>
        <w:rPr>
          <w:rFonts w:asciiTheme="minorHAnsi" w:hAnsiTheme="minorHAnsi" w:cs="Courier New"/>
          <w:b/>
          <w:bCs/>
          <w:sz w:val="22"/>
          <w:szCs w:val="22"/>
          <w:lang w:bidi="he-IL"/>
        </w:rPr>
      </w:pPr>
      <w:r>
        <w:rPr>
          <w:rFonts w:asciiTheme="minorHAnsi" w:hAnsiTheme="minorHAnsi" w:cs="Courier New"/>
          <w:b/>
          <w:bCs/>
          <w:sz w:val="22"/>
          <w:szCs w:val="22"/>
          <w:lang w:bidi="he-IL"/>
        </w:rPr>
        <w:t>Scope</w:t>
      </w:r>
    </w:p>
    <w:p w14:paraId="0FC2E8A0" w14:textId="129E6C19" w:rsidR="006A1E2D" w:rsidRPr="007E1074" w:rsidRDefault="006A1E2D" w:rsidP="006A1E2D">
      <w:pPr>
        <w:autoSpaceDE w:val="0"/>
        <w:autoSpaceDN w:val="0"/>
        <w:adjustRightInd w:val="0"/>
        <w:jc w:val="both"/>
        <w:rPr>
          <w:rFonts w:asciiTheme="minorHAnsi" w:hAnsiTheme="minorHAnsi" w:cs="Courier New"/>
          <w:sz w:val="22"/>
          <w:szCs w:val="22"/>
          <w:lang w:bidi="he-IL"/>
        </w:rPr>
      </w:pPr>
      <w:r w:rsidRPr="007E1074">
        <w:rPr>
          <w:rFonts w:asciiTheme="minorHAnsi" w:hAnsiTheme="minorHAnsi" w:cs="Courier New"/>
          <w:sz w:val="22"/>
          <w:szCs w:val="22"/>
          <w:lang w:bidi="he-IL"/>
        </w:rPr>
        <w:t>Th</w:t>
      </w:r>
      <w:r>
        <w:rPr>
          <w:rFonts w:asciiTheme="minorHAnsi" w:hAnsiTheme="minorHAnsi" w:cs="Courier New"/>
          <w:sz w:val="22"/>
          <w:szCs w:val="22"/>
          <w:lang w:bidi="he-IL"/>
        </w:rPr>
        <w:t>e</w:t>
      </w:r>
      <w:r w:rsidRPr="007E1074">
        <w:rPr>
          <w:rFonts w:asciiTheme="minorHAnsi" w:hAnsiTheme="minorHAnsi" w:cs="Courier New"/>
          <w:sz w:val="22"/>
          <w:szCs w:val="22"/>
          <w:lang w:bidi="he-IL"/>
        </w:rPr>
        <w:t xml:space="preserve"> </w:t>
      </w:r>
      <w:r>
        <w:rPr>
          <w:rFonts w:asciiTheme="minorHAnsi" w:hAnsiTheme="minorHAnsi" w:cs="Courier New"/>
          <w:sz w:val="22"/>
          <w:szCs w:val="22"/>
          <w:lang w:bidi="he-IL"/>
        </w:rPr>
        <w:t>requirements highlighted in this section</w:t>
      </w:r>
      <w:r w:rsidRPr="007E1074">
        <w:rPr>
          <w:rFonts w:asciiTheme="minorHAnsi" w:hAnsiTheme="minorHAnsi" w:cs="Courier New"/>
          <w:sz w:val="22"/>
          <w:szCs w:val="22"/>
          <w:lang w:bidi="he-IL"/>
        </w:rPr>
        <w:t xml:space="preserve"> appl</w:t>
      </w:r>
      <w:r>
        <w:rPr>
          <w:rFonts w:asciiTheme="minorHAnsi" w:hAnsiTheme="minorHAnsi" w:cs="Courier New"/>
          <w:sz w:val="22"/>
          <w:szCs w:val="22"/>
          <w:lang w:bidi="he-IL"/>
        </w:rPr>
        <w:t>y</w:t>
      </w:r>
      <w:r w:rsidRPr="007E1074">
        <w:rPr>
          <w:rFonts w:asciiTheme="minorHAnsi" w:hAnsiTheme="minorHAnsi" w:cs="Courier New"/>
          <w:sz w:val="22"/>
          <w:szCs w:val="22"/>
          <w:lang w:bidi="he-IL"/>
        </w:rPr>
        <w:t xml:space="preserve"> to </w:t>
      </w:r>
      <w:r>
        <w:rPr>
          <w:rFonts w:asciiTheme="minorHAnsi" w:hAnsiTheme="minorHAnsi" w:cs="Courier New"/>
          <w:sz w:val="22"/>
          <w:szCs w:val="22"/>
          <w:lang w:bidi="he-IL"/>
        </w:rPr>
        <w:t>all investigators funded by the NIH (or via a sub-contract with a university, where the research in question is funded by the NIH). For the purposes of this policy, an investigator is defined as:</w:t>
      </w:r>
    </w:p>
    <w:p w14:paraId="4362E92A" w14:textId="77777777" w:rsidR="006A1E2D" w:rsidRPr="00E14459" w:rsidRDefault="006A1E2D" w:rsidP="006A1E2D">
      <w:pPr>
        <w:pStyle w:val="ListParagraph"/>
        <w:autoSpaceDE w:val="0"/>
        <w:autoSpaceDN w:val="0"/>
        <w:adjustRightInd w:val="0"/>
        <w:ind w:left="770"/>
        <w:jc w:val="both"/>
        <w:rPr>
          <w:rFonts w:asciiTheme="minorHAnsi" w:hAnsiTheme="minorHAnsi" w:cs="Courier New"/>
          <w:sz w:val="22"/>
          <w:szCs w:val="22"/>
          <w:lang w:bidi="he-IL"/>
        </w:rPr>
      </w:pPr>
      <w:r w:rsidRPr="00E14459">
        <w:rPr>
          <w:rFonts w:asciiTheme="minorHAnsi" w:hAnsiTheme="minorHAnsi" w:cs="Courier New"/>
          <w:sz w:val="22"/>
          <w:szCs w:val="22"/>
          <w:lang w:bidi="he-IL"/>
        </w:rPr>
        <w:t xml:space="preserve"> </w:t>
      </w:r>
    </w:p>
    <w:p w14:paraId="4497BC16" w14:textId="34874342" w:rsidR="006A1E2D" w:rsidRDefault="006A1E2D" w:rsidP="006A1E2D">
      <w:pPr>
        <w:autoSpaceDE w:val="0"/>
        <w:autoSpaceDN w:val="0"/>
        <w:adjustRightInd w:val="0"/>
        <w:jc w:val="both"/>
        <w:rPr>
          <w:rFonts w:asciiTheme="minorHAnsi" w:hAnsiTheme="minorHAnsi" w:cs="Courier New"/>
          <w:sz w:val="22"/>
          <w:szCs w:val="22"/>
          <w:lang w:bidi="he-IL"/>
        </w:rPr>
      </w:pPr>
      <w:r w:rsidRPr="00AA5651">
        <w:rPr>
          <w:rFonts w:asciiTheme="minorHAnsi" w:hAnsiTheme="minorHAnsi" w:cs="Courier New"/>
          <w:sz w:val="22"/>
          <w:szCs w:val="22"/>
          <w:lang w:bidi="he-IL"/>
        </w:rPr>
        <w:t xml:space="preserve">“Investigator” means the project director or principal investigator and any other person, regardless of title or position, who is responsible for the design, conduct, or reporting of research funded by the </w:t>
      </w:r>
      <w:r w:rsidRPr="00AA5651">
        <w:rPr>
          <w:rFonts w:asciiTheme="minorHAnsi" w:hAnsiTheme="minorHAnsi" w:cs="Courier New"/>
          <w:sz w:val="22"/>
          <w:szCs w:val="22"/>
          <w:lang w:bidi="he-IL"/>
        </w:rPr>
        <w:lastRenderedPageBreak/>
        <w:t xml:space="preserve">PHS (e.g., NIH), or proposed for such funding, which may include, for example, collaborators or consultants.  </w:t>
      </w:r>
    </w:p>
    <w:p w14:paraId="442C1950" w14:textId="77777777" w:rsidR="00C67AB8" w:rsidRDefault="00C67AB8" w:rsidP="006A1E2D">
      <w:pPr>
        <w:autoSpaceDE w:val="0"/>
        <w:autoSpaceDN w:val="0"/>
        <w:adjustRightInd w:val="0"/>
        <w:jc w:val="both"/>
        <w:rPr>
          <w:rFonts w:asciiTheme="minorHAnsi" w:hAnsiTheme="minorHAnsi" w:cs="Courier New"/>
          <w:sz w:val="22"/>
          <w:szCs w:val="22"/>
          <w:lang w:bidi="he-IL"/>
        </w:rPr>
      </w:pPr>
    </w:p>
    <w:p w14:paraId="64734784" w14:textId="77777777" w:rsidR="006A1E2D" w:rsidRPr="00760E4C" w:rsidRDefault="006A1E2D" w:rsidP="006A1E2D">
      <w:pPr>
        <w:autoSpaceDE w:val="0"/>
        <w:autoSpaceDN w:val="0"/>
        <w:adjustRightInd w:val="0"/>
        <w:jc w:val="both"/>
        <w:rPr>
          <w:rFonts w:asciiTheme="minorHAnsi" w:hAnsiTheme="minorHAnsi" w:cs="Courier New"/>
          <w:b/>
          <w:bCs/>
          <w:sz w:val="22"/>
          <w:szCs w:val="22"/>
          <w:lang w:bidi="he-IL"/>
        </w:rPr>
      </w:pPr>
      <w:r w:rsidRPr="00760E4C">
        <w:rPr>
          <w:rFonts w:asciiTheme="minorHAnsi" w:hAnsiTheme="minorHAnsi" w:cs="Courier New"/>
          <w:b/>
          <w:bCs/>
          <w:sz w:val="22"/>
          <w:szCs w:val="22"/>
          <w:lang w:bidi="he-IL"/>
        </w:rPr>
        <w:t xml:space="preserve">Definitions </w:t>
      </w:r>
    </w:p>
    <w:p w14:paraId="358B8811" w14:textId="44583DF6" w:rsidR="006A1E2D" w:rsidRDefault="002E104A" w:rsidP="006A1E2D">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he-IL"/>
        </w:rPr>
        <w:t>Per the regulations, a</w:t>
      </w:r>
      <w:r w:rsidRPr="002E104A">
        <w:rPr>
          <w:rFonts w:asciiTheme="minorHAnsi" w:hAnsiTheme="minorHAnsi" w:cs="Courier New"/>
          <w:sz w:val="22"/>
          <w:szCs w:val="22"/>
          <w:lang w:bidi="he-IL"/>
        </w:rPr>
        <w:t xml:space="preserve"> Financial Conflict of Interest exists when the Institution, through its designated official(s), reasonably determines that an Investigator’s Significant Financial Interest is related to a NIH-funded research project and could directly and significantly affect the design, conduct or reporting of the NIH-funded research.</w:t>
      </w:r>
    </w:p>
    <w:p w14:paraId="084DEADA" w14:textId="30375090" w:rsidR="002E104A" w:rsidRDefault="002E104A" w:rsidP="006A1E2D">
      <w:pPr>
        <w:autoSpaceDE w:val="0"/>
        <w:autoSpaceDN w:val="0"/>
        <w:adjustRightInd w:val="0"/>
        <w:jc w:val="both"/>
        <w:rPr>
          <w:rFonts w:asciiTheme="minorHAnsi" w:hAnsiTheme="minorHAnsi" w:cs="Courier New"/>
          <w:sz w:val="22"/>
          <w:szCs w:val="22"/>
          <w:lang w:bidi="he-IL"/>
        </w:rPr>
      </w:pPr>
    </w:p>
    <w:p w14:paraId="6DC3B13A"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r w:rsidRPr="002E104A">
        <w:rPr>
          <w:rFonts w:asciiTheme="minorHAnsi" w:hAnsiTheme="minorHAnsi" w:cs="Courier New"/>
          <w:sz w:val="22"/>
          <w:szCs w:val="22"/>
          <w:lang w:bidi="he-IL"/>
        </w:rPr>
        <w:t xml:space="preserve">The regulation covers all financial interests that have monetary value, </w:t>
      </w:r>
      <w:proofErr w:type="gramStart"/>
      <w:r w:rsidRPr="002E104A">
        <w:rPr>
          <w:rFonts w:asciiTheme="minorHAnsi" w:hAnsiTheme="minorHAnsi" w:cs="Courier New"/>
          <w:sz w:val="22"/>
          <w:szCs w:val="22"/>
          <w:lang w:bidi="he-IL"/>
        </w:rPr>
        <w:t>whether or not</w:t>
      </w:r>
      <w:proofErr w:type="gramEnd"/>
      <w:r w:rsidRPr="002E104A">
        <w:rPr>
          <w:rFonts w:asciiTheme="minorHAnsi" w:hAnsiTheme="minorHAnsi" w:cs="Courier New"/>
          <w:sz w:val="22"/>
          <w:szCs w:val="22"/>
          <w:lang w:bidi="he-IL"/>
        </w:rPr>
        <w:t xml:space="preserve"> the value is readily ascertainable.    </w:t>
      </w:r>
    </w:p>
    <w:p w14:paraId="0772E985"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p>
    <w:p w14:paraId="5E755913"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r w:rsidRPr="002E104A">
        <w:rPr>
          <w:rFonts w:asciiTheme="minorHAnsi" w:hAnsiTheme="minorHAnsi" w:cs="Courier New"/>
          <w:sz w:val="22"/>
          <w:szCs w:val="22"/>
          <w:lang w:bidi="he-IL"/>
        </w:rPr>
        <w:t>The 2011 revised regulation defines a “Significant Financial Interest” as follows:</w:t>
      </w:r>
    </w:p>
    <w:p w14:paraId="56E70BDD"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p>
    <w:p w14:paraId="78BEEE94"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r w:rsidRPr="002E104A">
        <w:rPr>
          <w:rFonts w:asciiTheme="minorHAnsi" w:hAnsiTheme="minorHAnsi" w:cs="Courier New"/>
          <w:sz w:val="22"/>
          <w:szCs w:val="22"/>
          <w:lang w:bidi="he-IL"/>
        </w:rPr>
        <w:t>“(1) A financial interest consisting of one or more of the following interests of the Investigator (and those of the Investigator’s spouse and dependent children) that reasonably appears to be related to the Investigator’s institutional responsibilities:</w:t>
      </w:r>
    </w:p>
    <w:p w14:paraId="4FD3A70A"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p>
    <w:p w14:paraId="05BC0D78" w14:textId="77777777" w:rsidR="002E104A" w:rsidRPr="002E104A" w:rsidRDefault="002E104A" w:rsidP="002E104A">
      <w:pPr>
        <w:autoSpaceDE w:val="0"/>
        <w:autoSpaceDN w:val="0"/>
        <w:adjustRightInd w:val="0"/>
        <w:ind w:left="720"/>
        <w:jc w:val="both"/>
        <w:rPr>
          <w:rFonts w:asciiTheme="minorHAnsi" w:hAnsiTheme="minorHAnsi" w:cs="Courier New"/>
          <w:sz w:val="22"/>
          <w:szCs w:val="22"/>
          <w:lang w:bidi="he-IL"/>
        </w:rPr>
      </w:pPr>
      <w:r w:rsidRPr="002E104A">
        <w:rPr>
          <w:rFonts w:asciiTheme="minorHAnsi" w:hAnsiTheme="minorHAnsi" w:cs="Courier New"/>
          <w:sz w:val="22"/>
          <w:szCs w:val="22"/>
          <w:lang w:bidi="he-IL"/>
        </w:rPr>
        <w:t>(</w:t>
      </w:r>
      <w:proofErr w:type="spellStart"/>
      <w:r w:rsidRPr="002E104A">
        <w:rPr>
          <w:rFonts w:asciiTheme="minorHAnsi" w:hAnsiTheme="minorHAnsi" w:cs="Courier New"/>
          <w:sz w:val="22"/>
          <w:szCs w:val="22"/>
          <w:lang w:bidi="he-IL"/>
        </w:rPr>
        <w:t>i</w:t>
      </w:r>
      <w:proofErr w:type="spellEnd"/>
      <w:r w:rsidRPr="002E104A">
        <w:rPr>
          <w:rFonts w:asciiTheme="minorHAnsi" w:hAnsiTheme="minorHAnsi" w:cs="Courier New"/>
          <w:sz w:val="22"/>
          <w:szCs w:val="22"/>
          <w:lang w:bidi="he-IL"/>
        </w:rPr>
        <w:t xml:space="preserve">) 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w:t>
      </w:r>
      <w:proofErr w:type="gramStart"/>
      <w:r w:rsidRPr="002E104A">
        <w:rPr>
          <w:rFonts w:asciiTheme="minorHAnsi" w:hAnsiTheme="minorHAnsi" w:cs="Courier New"/>
          <w:sz w:val="22"/>
          <w:szCs w:val="22"/>
          <w:lang w:bidi="he-IL"/>
        </w:rPr>
        <w:t>value;</w:t>
      </w:r>
      <w:proofErr w:type="gramEnd"/>
    </w:p>
    <w:p w14:paraId="1A5D581D"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p>
    <w:p w14:paraId="0A0A07C3" w14:textId="77777777" w:rsidR="002E104A" w:rsidRPr="002E104A" w:rsidRDefault="002E104A" w:rsidP="002E104A">
      <w:pPr>
        <w:autoSpaceDE w:val="0"/>
        <w:autoSpaceDN w:val="0"/>
        <w:adjustRightInd w:val="0"/>
        <w:ind w:left="720"/>
        <w:jc w:val="both"/>
        <w:rPr>
          <w:rFonts w:asciiTheme="minorHAnsi" w:hAnsiTheme="minorHAnsi" w:cs="Courier New"/>
          <w:sz w:val="22"/>
          <w:szCs w:val="22"/>
          <w:lang w:bidi="he-IL"/>
        </w:rPr>
      </w:pPr>
      <w:r w:rsidRPr="002E104A">
        <w:rPr>
          <w:rFonts w:asciiTheme="minorHAnsi" w:hAnsiTheme="minorHAnsi" w:cs="Courier New"/>
          <w:sz w:val="22"/>
          <w:szCs w:val="22"/>
          <w:lang w:bidi="he-IL"/>
        </w:rPr>
        <w:t>(ii) 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w:t>
      </w:r>
    </w:p>
    <w:p w14:paraId="3DD8724C"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p>
    <w:p w14:paraId="33A598C3" w14:textId="77777777" w:rsidR="002E104A" w:rsidRPr="002E104A" w:rsidRDefault="002E104A" w:rsidP="002E104A">
      <w:pPr>
        <w:autoSpaceDE w:val="0"/>
        <w:autoSpaceDN w:val="0"/>
        <w:adjustRightInd w:val="0"/>
        <w:ind w:left="720"/>
        <w:jc w:val="both"/>
        <w:rPr>
          <w:rFonts w:asciiTheme="minorHAnsi" w:hAnsiTheme="minorHAnsi" w:cs="Courier New"/>
          <w:sz w:val="22"/>
          <w:szCs w:val="22"/>
          <w:lang w:bidi="he-IL"/>
        </w:rPr>
      </w:pPr>
      <w:r w:rsidRPr="002E104A">
        <w:rPr>
          <w:rFonts w:asciiTheme="minorHAnsi" w:hAnsiTheme="minorHAnsi" w:cs="Courier New"/>
          <w:sz w:val="22"/>
          <w:szCs w:val="22"/>
          <w:lang w:bidi="he-IL"/>
        </w:rPr>
        <w:t xml:space="preserve">(iii) Intellectual property rights and interests (e.g., patents, copyrights), upon receipt of income related to such rights and interests. </w:t>
      </w:r>
    </w:p>
    <w:p w14:paraId="72E251CB"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p>
    <w:p w14:paraId="6F68DA98"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r w:rsidRPr="002E104A">
        <w:rPr>
          <w:rFonts w:asciiTheme="minorHAnsi" w:hAnsiTheme="minorHAnsi" w:cs="Courier New"/>
          <w:sz w:val="22"/>
          <w:szCs w:val="22"/>
          <w:lang w:bidi="he-IL"/>
        </w:rPr>
        <w:t xml:space="preserve">(2) Investigators also must disclose the occurrence of any reimbursed or sponsored travel (i.e., 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local government agency, an Institution of higher education as defined at 20 U.S.C. 1001(a), an academic teaching hospital, a medical </w:t>
      </w:r>
      <w:proofErr w:type="spellStart"/>
      <w:r w:rsidRPr="002E104A">
        <w:rPr>
          <w:rFonts w:asciiTheme="minorHAnsi" w:hAnsiTheme="minorHAnsi" w:cs="Courier New"/>
          <w:sz w:val="22"/>
          <w:szCs w:val="22"/>
          <w:lang w:bidi="he-IL"/>
        </w:rPr>
        <w:t>center</w:t>
      </w:r>
      <w:proofErr w:type="spellEnd"/>
      <w:r w:rsidRPr="002E104A">
        <w:rPr>
          <w:rFonts w:asciiTheme="minorHAnsi" w:hAnsiTheme="minorHAnsi" w:cs="Courier New"/>
          <w:sz w:val="22"/>
          <w:szCs w:val="22"/>
          <w:lang w:bidi="he-IL"/>
        </w:rPr>
        <w:t xml:space="preserve">, or a research institute that is affiliated with an Institution of higher education.  The Institution’s FCOI policy will specify the details of this disclosure, which will include, at a minimum, the purpose of the trip, the identity of the sponsor/organizer, the destination, and the duration.  In accordance with the Institution’s FCOI policy, the institutional official(s) will determine if further information is needed, including a determination or disclosure of monetary value, </w:t>
      </w:r>
      <w:proofErr w:type="gramStart"/>
      <w:r w:rsidRPr="002E104A">
        <w:rPr>
          <w:rFonts w:asciiTheme="minorHAnsi" w:hAnsiTheme="minorHAnsi" w:cs="Courier New"/>
          <w:sz w:val="22"/>
          <w:szCs w:val="22"/>
          <w:lang w:bidi="he-IL"/>
        </w:rPr>
        <w:t>in order to</w:t>
      </w:r>
      <w:proofErr w:type="gramEnd"/>
      <w:r w:rsidRPr="002E104A">
        <w:rPr>
          <w:rFonts w:asciiTheme="minorHAnsi" w:hAnsiTheme="minorHAnsi" w:cs="Courier New"/>
          <w:sz w:val="22"/>
          <w:szCs w:val="22"/>
          <w:lang w:bidi="he-IL"/>
        </w:rPr>
        <w:t xml:space="preserve"> determine whether the travel constitutes an FCOI with the PHS-funded research.</w:t>
      </w:r>
    </w:p>
    <w:p w14:paraId="2496F12E"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p>
    <w:p w14:paraId="551A73F6" w14:textId="4DAF4435" w:rsidR="002E104A" w:rsidRPr="00760E4C" w:rsidRDefault="002E104A" w:rsidP="002E104A">
      <w:pPr>
        <w:autoSpaceDE w:val="0"/>
        <w:autoSpaceDN w:val="0"/>
        <w:adjustRightInd w:val="0"/>
        <w:jc w:val="both"/>
        <w:rPr>
          <w:rFonts w:asciiTheme="minorHAnsi" w:hAnsiTheme="minorHAnsi" w:cs="Courier New"/>
          <w:sz w:val="22"/>
          <w:szCs w:val="22"/>
          <w:lang w:bidi="he-IL"/>
        </w:rPr>
      </w:pPr>
      <w:r w:rsidRPr="002E104A">
        <w:rPr>
          <w:rFonts w:asciiTheme="minorHAnsi" w:hAnsiTheme="minorHAnsi" w:cs="Courier New"/>
          <w:sz w:val="22"/>
          <w:szCs w:val="22"/>
          <w:lang w:bidi="he-IL"/>
        </w:rPr>
        <w:t xml:space="preserve">(3) The term significant financial interest does not include the following types of financial interests: salary, royalties, or other remuneration paid by the Institution to the Investigator if the Investigator is </w:t>
      </w:r>
      <w:r w:rsidRPr="002E104A">
        <w:rPr>
          <w:rFonts w:asciiTheme="minorHAnsi" w:hAnsiTheme="minorHAnsi" w:cs="Courier New"/>
          <w:sz w:val="22"/>
          <w:szCs w:val="22"/>
          <w:lang w:bidi="he-IL"/>
        </w:rPr>
        <w:lastRenderedPageBreak/>
        <w:t xml:space="preserve">currently employed or otherwise appointed by the Institution, including intellectual property rights assigned to the Institution and agreements to share in royalties related to such rights; any ownership interest in the Institution held by the Investigator, if the Institution is a commercial or for-profit organization; income from investment vehicles, such as mutual funds and retirement accounts, as long as the Investigator does not directly control the investment decisions made in these vehicles; income from seminars, lectures, or teaching engagements sponsored by a federal, state, or local government agency, an Institution of higher education as defined at 20 U.S.C. 1001(a), an academic teaching hospital, a medical </w:t>
      </w:r>
      <w:proofErr w:type="spellStart"/>
      <w:r w:rsidRPr="002E104A">
        <w:rPr>
          <w:rFonts w:asciiTheme="minorHAnsi" w:hAnsiTheme="minorHAnsi" w:cs="Courier New"/>
          <w:sz w:val="22"/>
          <w:szCs w:val="22"/>
          <w:lang w:bidi="he-IL"/>
        </w:rPr>
        <w:t>center</w:t>
      </w:r>
      <w:proofErr w:type="spellEnd"/>
      <w:r w:rsidRPr="002E104A">
        <w:rPr>
          <w:rFonts w:asciiTheme="minorHAnsi" w:hAnsiTheme="minorHAnsi" w:cs="Courier New"/>
          <w:sz w:val="22"/>
          <w:szCs w:val="22"/>
          <w:lang w:bidi="he-IL"/>
        </w:rPr>
        <w:t xml:space="preserve">, or a research institute that is affiliated with an Institution of higher education; or income from service on advisory committees or review panels for a federal, state, or local government agency, an Institution of higher education as defined at 20 U.S.C. 1001(a), an academic teaching hospital, a medical </w:t>
      </w:r>
      <w:proofErr w:type="spellStart"/>
      <w:r w:rsidRPr="002E104A">
        <w:rPr>
          <w:rFonts w:asciiTheme="minorHAnsi" w:hAnsiTheme="minorHAnsi" w:cs="Courier New"/>
          <w:sz w:val="22"/>
          <w:szCs w:val="22"/>
          <w:lang w:bidi="he-IL"/>
        </w:rPr>
        <w:t>center</w:t>
      </w:r>
      <w:proofErr w:type="spellEnd"/>
      <w:r w:rsidRPr="002E104A">
        <w:rPr>
          <w:rFonts w:asciiTheme="minorHAnsi" w:hAnsiTheme="minorHAnsi" w:cs="Courier New"/>
          <w:sz w:val="22"/>
          <w:szCs w:val="22"/>
          <w:lang w:bidi="he-IL"/>
        </w:rPr>
        <w:t>, or a research institute that is affiliated with an Institution of higher education.”</w:t>
      </w:r>
    </w:p>
    <w:p w14:paraId="36AF68EE" w14:textId="77777777" w:rsidR="002E104A" w:rsidRDefault="002E104A" w:rsidP="006A1E2D">
      <w:pPr>
        <w:jc w:val="both"/>
        <w:rPr>
          <w:rFonts w:asciiTheme="minorHAnsi" w:hAnsiTheme="minorHAnsi"/>
          <w:sz w:val="22"/>
          <w:szCs w:val="22"/>
        </w:rPr>
      </w:pPr>
    </w:p>
    <w:p w14:paraId="44EFCA58" w14:textId="236361E6" w:rsidR="006A1E2D" w:rsidRDefault="006A1E2D" w:rsidP="006A1E2D">
      <w:pPr>
        <w:jc w:val="both"/>
        <w:rPr>
          <w:rFonts w:asciiTheme="minorHAnsi" w:hAnsiTheme="minorHAnsi"/>
          <w:sz w:val="22"/>
          <w:szCs w:val="22"/>
        </w:rPr>
      </w:pPr>
      <w:r>
        <w:rPr>
          <w:rFonts w:asciiTheme="minorHAnsi" w:hAnsiTheme="minorHAnsi"/>
          <w:sz w:val="22"/>
          <w:szCs w:val="22"/>
        </w:rPr>
        <w:t xml:space="preserve">For </w:t>
      </w:r>
      <w:r w:rsidR="002E104A">
        <w:rPr>
          <w:rFonts w:asciiTheme="minorHAnsi" w:hAnsiTheme="minorHAnsi"/>
          <w:sz w:val="22"/>
          <w:szCs w:val="22"/>
        </w:rPr>
        <w:t xml:space="preserve">further </w:t>
      </w:r>
      <w:r>
        <w:rPr>
          <w:rFonts w:asciiTheme="minorHAnsi" w:hAnsiTheme="minorHAnsi"/>
          <w:sz w:val="22"/>
          <w:szCs w:val="22"/>
        </w:rPr>
        <w:t xml:space="preserve">definitions, please see Section D of the NIH FAQs: </w:t>
      </w:r>
    </w:p>
    <w:p w14:paraId="3E326776" w14:textId="77777777" w:rsidR="006A1E2D" w:rsidRDefault="00E776F2" w:rsidP="006A1E2D">
      <w:pPr>
        <w:jc w:val="both"/>
        <w:rPr>
          <w:rFonts w:asciiTheme="minorHAnsi" w:hAnsiTheme="minorHAnsi"/>
          <w:sz w:val="22"/>
          <w:szCs w:val="22"/>
        </w:rPr>
      </w:pPr>
      <w:hyperlink r:id="rId10" w:anchor="/financial-conflict-of-interest.htm?anchor=question53049" w:history="1">
        <w:r w:rsidR="006A1E2D" w:rsidRPr="00FF0C65">
          <w:rPr>
            <w:rStyle w:val="Hyperlink"/>
            <w:rFonts w:asciiTheme="minorHAnsi" w:hAnsiTheme="minorHAnsi"/>
            <w:sz w:val="22"/>
            <w:szCs w:val="22"/>
          </w:rPr>
          <w:t>https://grants.nih.gov/faqs#/financial-conflict-of-interest.htm?anchor=question53049</w:t>
        </w:r>
      </w:hyperlink>
    </w:p>
    <w:p w14:paraId="2EB7FD60" w14:textId="77777777" w:rsidR="006A1E2D" w:rsidRPr="008D323E" w:rsidRDefault="006A1E2D" w:rsidP="006A1E2D">
      <w:pPr>
        <w:jc w:val="both"/>
        <w:rPr>
          <w:rFonts w:asciiTheme="minorHAnsi" w:hAnsiTheme="minorHAnsi"/>
          <w:sz w:val="22"/>
          <w:szCs w:val="22"/>
        </w:rPr>
      </w:pPr>
    </w:p>
    <w:p w14:paraId="7D16882E" w14:textId="445AB9B8" w:rsidR="006A1E2D" w:rsidRPr="00C67AB8" w:rsidRDefault="00C67AB8" w:rsidP="006A1E2D">
      <w:pPr>
        <w:autoSpaceDE w:val="0"/>
        <w:autoSpaceDN w:val="0"/>
        <w:adjustRightInd w:val="0"/>
        <w:jc w:val="both"/>
        <w:rPr>
          <w:rFonts w:asciiTheme="minorHAnsi" w:hAnsiTheme="minorHAnsi" w:cs="Courier New"/>
          <w:b/>
          <w:bCs/>
          <w:sz w:val="22"/>
          <w:szCs w:val="22"/>
          <w:lang w:bidi="he-IL"/>
        </w:rPr>
      </w:pPr>
      <w:r w:rsidRPr="00C67AB8">
        <w:rPr>
          <w:rFonts w:asciiTheme="minorHAnsi" w:hAnsiTheme="minorHAnsi" w:cs="Courier New"/>
          <w:b/>
          <w:bCs/>
          <w:sz w:val="22"/>
          <w:szCs w:val="22"/>
          <w:lang w:bidi="he-IL"/>
        </w:rPr>
        <w:t>Responsibilities of the Investigator</w:t>
      </w:r>
    </w:p>
    <w:p w14:paraId="58838041" w14:textId="2F0FC3B6" w:rsidR="000E3A6A" w:rsidRPr="000E3A6A" w:rsidRDefault="000E3A6A" w:rsidP="006A1E2D">
      <w:pPr>
        <w:autoSpaceDE w:val="0"/>
        <w:autoSpaceDN w:val="0"/>
        <w:adjustRightInd w:val="0"/>
        <w:jc w:val="both"/>
        <w:rPr>
          <w:rFonts w:asciiTheme="minorHAnsi" w:hAnsiTheme="minorHAnsi" w:cs="Courier New"/>
          <w:b/>
          <w:bCs/>
          <w:i/>
          <w:iCs/>
          <w:sz w:val="22"/>
          <w:szCs w:val="22"/>
          <w:lang w:bidi="he-IL"/>
        </w:rPr>
      </w:pPr>
      <w:r w:rsidRPr="000E3A6A">
        <w:rPr>
          <w:rFonts w:asciiTheme="minorHAnsi" w:hAnsiTheme="minorHAnsi" w:cs="Courier New"/>
          <w:b/>
          <w:bCs/>
          <w:i/>
          <w:iCs/>
          <w:sz w:val="22"/>
          <w:szCs w:val="22"/>
          <w:lang w:bidi="he-IL"/>
        </w:rPr>
        <w:t>Training</w:t>
      </w:r>
    </w:p>
    <w:p w14:paraId="67939D43" w14:textId="01774AF6" w:rsidR="00C67AB8" w:rsidRDefault="00C67AB8" w:rsidP="006A1E2D">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he-IL"/>
        </w:rPr>
        <w:t>All investigators in receipt of NIH funding must complete the University’s Research Integrity Training (which includes a section on Financial Conflicts of Interest) when they commence employment with the University and prior to engaging in any research.  Any investigator engaged in research related to PHS-funded grants must undertake training</w:t>
      </w:r>
      <w:r w:rsidR="00312703">
        <w:rPr>
          <w:rFonts w:asciiTheme="minorHAnsi" w:hAnsiTheme="minorHAnsi" w:cs="Courier New"/>
          <w:sz w:val="22"/>
          <w:szCs w:val="22"/>
          <w:lang w:bidi="he-IL"/>
        </w:rPr>
        <w:t xml:space="preserve"> at least every 4 years.</w:t>
      </w:r>
    </w:p>
    <w:p w14:paraId="14850316" w14:textId="57A04C43" w:rsidR="00312703" w:rsidRDefault="00312703" w:rsidP="006A1E2D">
      <w:pPr>
        <w:autoSpaceDE w:val="0"/>
        <w:autoSpaceDN w:val="0"/>
        <w:adjustRightInd w:val="0"/>
        <w:jc w:val="both"/>
        <w:rPr>
          <w:rFonts w:asciiTheme="minorHAnsi" w:hAnsiTheme="minorHAnsi" w:cs="Courier New"/>
          <w:sz w:val="22"/>
          <w:szCs w:val="22"/>
          <w:lang w:bidi="he-IL"/>
        </w:rPr>
      </w:pPr>
    </w:p>
    <w:p w14:paraId="3B9A95FC" w14:textId="035BB47F" w:rsidR="000E3A6A" w:rsidRPr="000E3A6A" w:rsidRDefault="000E3A6A" w:rsidP="006A1E2D">
      <w:pPr>
        <w:autoSpaceDE w:val="0"/>
        <w:autoSpaceDN w:val="0"/>
        <w:adjustRightInd w:val="0"/>
        <w:jc w:val="both"/>
        <w:rPr>
          <w:rFonts w:asciiTheme="minorHAnsi" w:hAnsiTheme="minorHAnsi" w:cs="Courier New"/>
          <w:b/>
          <w:bCs/>
          <w:i/>
          <w:iCs/>
          <w:sz w:val="22"/>
          <w:szCs w:val="22"/>
          <w:lang w:bidi="he-IL"/>
        </w:rPr>
      </w:pPr>
      <w:r>
        <w:rPr>
          <w:rFonts w:asciiTheme="minorHAnsi" w:hAnsiTheme="minorHAnsi" w:cs="Courier New"/>
          <w:b/>
          <w:bCs/>
          <w:i/>
          <w:iCs/>
          <w:sz w:val="22"/>
          <w:szCs w:val="22"/>
          <w:lang w:bidi="he-IL"/>
        </w:rPr>
        <w:t>Disclosure</w:t>
      </w:r>
    </w:p>
    <w:p w14:paraId="5CDC065A" w14:textId="1108A39B" w:rsidR="00312703" w:rsidRDefault="00312703" w:rsidP="00E50424">
      <w:pPr>
        <w:autoSpaceDE w:val="0"/>
        <w:autoSpaceDN w:val="0"/>
        <w:adjustRightInd w:val="0"/>
        <w:jc w:val="both"/>
        <w:rPr>
          <w:rFonts w:asciiTheme="minorHAnsi" w:hAnsiTheme="minorHAnsi" w:cs="Courier New"/>
          <w:sz w:val="22"/>
          <w:szCs w:val="22"/>
          <w:lang w:bidi="he-IL"/>
        </w:rPr>
      </w:pPr>
      <w:r w:rsidRPr="00312703">
        <w:rPr>
          <w:rFonts w:asciiTheme="minorHAnsi" w:hAnsiTheme="minorHAnsi" w:cs="Courier New"/>
          <w:sz w:val="22"/>
          <w:szCs w:val="22"/>
          <w:lang w:bidi="he-IL"/>
        </w:rPr>
        <w:t xml:space="preserve">Investigators must disclose to their institutions annually </w:t>
      </w:r>
      <w:proofErr w:type="gramStart"/>
      <w:r w:rsidRPr="00312703">
        <w:rPr>
          <w:rFonts w:asciiTheme="minorHAnsi" w:hAnsiTheme="minorHAnsi" w:cs="Courier New"/>
          <w:sz w:val="22"/>
          <w:szCs w:val="22"/>
          <w:lang w:bidi="he-IL"/>
        </w:rPr>
        <w:t>all of</w:t>
      </w:r>
      <w:proofErr w:type="gramEnd"/>
      <w:r w:rsidRPr="00312703">
        <w:rPr>
          <w:rFonts w:asciiTheme="minorHAnsi" w:hAnsiTheme="minorHAnsi" w:cs="Courier New"/>
          <w:sz w:val="22"/>
          <w:szCs w:val="22"/>
          <w:lang w:bidi="he-IL"/>
        </w:rPr>
        <w:t xml:space="preserve"> their significant financial interests </w:t>
      </w:r>
      <w:r w:rsidR="00E50424" w:rsidRPr="00E50424">
        <w:rPr>
          <w:rFonts w:asciiTheme="minorHAnsi" w:hAnsiTheme="minorHAnsi" w:cs="Courier New"/>
          <w:sz w:val="22"/>
          <w:szCs w:val="22"/>
          <w:lang w:bidi="he-IL"/>
        </w:rPr>
        <w:t>(and those of</w:t>
      </w:r>
      <w:r w:rsidR="00E50424">
        <w:rPr>
          <w:rFonts w:asciiTheme="minorHAnsi" w:hAnsiTheme="minorHAnsi" w:cs="Courier New"/>
          <w:sz w:val="22"/>
          <w:szCs w:val="22"/>
          <w:lang w:bidi="he-IL"/>
        </w:rPr>
        <w:t xml:space="preserve"> </w:t>
      </w:r>
      <w:r w:rsidR="00E50424" w:rsidRPr="00E50424">
        <w:rPr>
          <w:rFonts w:asciiTheme="minorHAnsi" w:hAnsiTheme="minorHAnsi" w:cs="Courier New"/>
          <w:sz w:val="22"/>
          <w:szCs w:val="22"/>
          <w:lang w:bidi="he-IL"/>
        </w:rPr>
        <w:t>the Investigator’s spouse and dependent children)</w:t>
      </w:r>
      <w:r w:rsidR="00E50424">
        <w:rPr>
          <w:rFonts w:asciiTheme="minorHAnsi" w:hAnsiTheme="minorHAnsi" w:cs="Courier New"/>
          <w:sz w:val="22"/>
          <w:szCs w:val="22"/>
          <w:lang w:bidi="he-IL"/>
        </w:rPr>
        <w:t xml:space="preserve"> </w:t>
      </w:r>
      <w:r w:rsidRPr="00312703">
        <w:rPr>
          <w:rFonts w:asciiTheme="minorHAnsi" w:hAnsiTheme="minorHAnsi" w:cs="Courier New"/>
          <w:sz w:val="22"/>
          <w:szCs w:val="22"/>
          <w:lang w:bidi="he-IL"/>
        </w:rPr>
        <w:t>related to their institutional responsibilities.</w:t>
      </w:r>
      <w:r>
        <w:rPr>
          <w:rFonts w:asciiTheme="minorHAnsi" w:hAnsiTheme="minorHAnsi" w:cs="Courier New"/>
          <w:sz w:val="22"/>
          <w:szCs w:val="22"/>
          <w:lang w:bidi="he-IL"/>
        </w:rPr>
        <w:t xml:space="preserve"> </w:t>
      </w:r>
      <w:r w:rsidRPr="00312703">
        <w:rPr>
          <w:rFonts w:asciiTheme="minorHAnsi" w:hAnsiTheme="minorHAnsi" w:cs="Courier New"/>
          <w:sz w:val="22"/>
          <w:szCs w:val="22"/>
          <w:lang w:bidi="he-IL"/>
        </w:rPr>
        <w:t xml:space="preserve">A significant financial interest need not necessarily represent a financial conflict of </w:t>
      </w:r>
      <w:proofErr w:type="gramStart"/>
      <w:r w:rsidRPr="00312703">
        <w:rPr>
          <w:rFonts w:asciiTheme="minorHAnsi" w:hAnsiTheme="minorHAnsi" w:cs="Courier New"/>
          <w:sz w:val="22"/>
          <w:szCs w:val="22"/>
          <w:lang w:bidi="he-IL"/>
        </w:rPr>
        <w:t>interest, but</w:t>
      </w:r>
      <w:proofErr w:type="gramEnd"/>
      <w:r w:rsidRPr="00312703">
        <w:rPr>
          <w:rFonts w:asciiTheme="minorHAnsi" w:hAnsiTheme="minorHAnsi" w:cs="Courier New"/>
          <w:sz w:val="22"/>
          <w:szCs w:val="22"/>
          <w:lang w:bidi="he-IL"/>
        </w:rPr>
        <w:t xml:space="preserve"> must be disclosed by the investigator to the relevant head of department or faculty to determine whether this presents any possible conflict of interest which needs to be reported to the NIH.</w:t>
      </w:r>
    </w:p>
    <w:p w14:paraId="21F94C4C" w14:textId="73F0D4CD" w:rsidR="00312703" w:rsidRDefault="00312703" w:rsidP="006A1E2D">
      <w:pPr>
        <w:autoSpaceDE w:val="0"/>
        <w:autoSpaceDN w:val="0"/>
        <w:adjustRightInd w:val="0"/>
        <w:jc w:val="both"/>
        <w:rPr>
          <w:rFonts w:asciiTheme="minorHAnsi" w:hAnsiTheme="minorHAnsi" w:cs="Courier New"/>
          <w:sz w:val="22"/>
          <w:szCs w:val="22"/>
          <w:lang w:bidi="he-IL"/>
        </w:rPr>
      </w:pPr>
    </w:p>
    <w:p w14:paraId="245DB321" w14:textId="77777777" w:rsidR="00E50424" w:rsidRDefault="00312703" w:rsidP="006A1E2D">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he-IL"/>
        </w:rPr>
        <w:t>A</w:t>
      </w:r>
      <w:r w:rsidRPr="00312703">
        <w:rPr>
          <w:rFonts w:asciiTheme="minorHAnsi" w:hAnsiTheme="minorHAnsi" w:cs="Courier New"/>
          <w:sz w:val="22"/>
          <w:szCs w:val="22"/>
          <w:lang w:bidi="he-IL"/>
        </w:rPr>
        <w:t xml:space="preserve"> declaration of a 'significant financial interest’ should be made initially to the </w:t>
      </w:r>
      <w:r>
        <w:rPr>
          <w:rFonts w:asciiTheme="minorHAnsi" w:hAnsiTheme="minorHAnsi" w:cs="Courier New"/>
          <w:sz w:val="22"/>
          <w:szCs w:val="22"/>
          <w:lang w:bidi="he-IL"/>
        </w:rPr>
        <w:t>Investigator</w:t>
      </w:r>
      <w:r w:rsidRPr="00312703">
        <w:rPr>
          <w:rFonts w:asciiTheme="minorHAnsi" w:hAnsiTheme="minorHAnsi" w:cs="Courier New"/>
          <w:sz w:val="22"/>
          <w:szCs w:val="22"/>
          <w:lang w:bidi="he-IL"/>
        </w:rPr>
        <w:t xml:space="preserve">’s </w:t>
      </w:r>
      <w:r>
        <w:rPr>
          <w:rFonts w:asciiTheme="minorHAnsi" w:hAnsiTheme="minorHAnsi" w:cs="Courier New"/>
          <w:sz w:val="22"/>
          <w:szCs w:val="22"/>
          <w:lang w:bidi="he-IL"/>
        </w:rPr>
        <w:t>H</w:t>
      </w:r>
      <w:r w:rsidRPr="00312703">
        <w:rPr>
          <w:rFonts w:asciiTheme="minorHAnsi" w:hAnsiTheme="minorHAnsi" w:cs="Courier New"/>
          <w:sz w:val="22"/>
          <w:szCs w:val="22"/>
          <w:lang w:bidi="he-IL"/>
        </w:rPr>
        <w:t xml:space="preserve">ead of </w:t>
      </w:r>
      <w:r>
        <w:rPr>
          <w:rFonts w:asciiTheme="minorHAnsi" w:hAnsiTheme="minorHAnsi" w:cs="Courier New"/>
          <w:sz w:val="22"/>
          <w:szCs w:val="22"/>
          <w:lang w:bidi="he-IL"/>
        </w:rPr>
        <w:t>D</w:t>
      </w:r>
      <w:r w:rsidRPr="00312703">
        <w:rPr>
          <w:rFonts w:asciiTheme="minorHAnsi" w:hAnsiTheme="minorHAnsi" w:cs="Courier New"/>
          <w:sz w:val="22"/>
          <w:szCs w:val="22"/>
          <w:lang w:bidi="he-IL"/>
        </w:rPr>
        <w:t xml:space="preserve">epartment or </w:t>
      </w:r>
      <w:r>
        <w:rPr>
          <w:rFonts w:asciiTheme="minorHAnsi" w:hAnsiTheme="minorHAnsi" w:cs="Courier New"/>
          <w:sz w:val="22"/>
          <w:szCs w:val="22"/>
          <w:lang w:bidi="he-IL"/>
        </w:rPr>
        <w:t>School</w:t>
      </w:r>
      <w:r w:rsidRPr="00312703">
        <w:rPr>
          <w:rFonts w:asciiTheme="minorHAnsi" w:hAnsiTheme="minorHAnsi" w:cs="Courier New"/>
          <w:sz w:val="22"/>
          <w:szCs w:val="22"/>
          <w:lang w:bidi="he-IL"/>
        </w:rPr>
        <w:t xml:space="preserve"> (or in the case of a </w:t>
      </w:r>
      <w:r>
        <w:rPr>
          <w:rFonts w:asciiTheme="minorHAnsi" w:hAnsiTheme="minorHAnsi" w:cs="Courier New"/>
          <w:sz w:val="22"/>
          <w:szCs w:val="22"/>
          <w:lang w:bidi="he-IL"/>
        </w:rPr>
        <w:t>H</w:t>
      </w:r>
      <w:r w:rsidRPr="00312703">
        <w:rPr>
          <w:rFonts w:asciiTheme="minorHAnsi" w:hAnsiTheme="minorHAnsi" w:cs="Courier New"/>
          <w:sz w:val="22"/>
          <w:szCs w:val="22"/>
          <w:lang w:bidi="he-IL"/>
        </w:rPr>
        <w:t xml:space="preserve">ead of </w:t>
      </w:r>
      <w:r>
        <w:rPr>
          <w:rFonts w:asciiTheme="minorHAnsi" w:hAnsiTheme="minorHAnsi" w:cs="Courier New"/>
          <w:sz w:val="22"/>
          <w:szCs w:val="22"/>
          <w:lang w:bidi="he-IL"/>
        </w:rPr>
        <w:t>D</w:t>
      </w:r>
      <w:r w:rsidRPr="00312703">
        <w:rPr>
          <w:rFonts w:asciiTheme="minorHAnsi" w:hAnsiTheme="minorHAnsi" w:cs="Courier New"/>
          <w:sz w:val="22"/>
          <w:szCs w:val="22"/>
          <w:lang w:bidi="he-IL"/>
        </w:rPr>
        <w:t xml:space="preserve">epartment or </w:t>
      </w:r>
      <w:r>
        <w:rPr>
          <w:rFonts w:asciiTheme="minorHAnsi" w:hAnsiTheme="minorHAnsi" w:cs="Courier New"/>
          <w:sz w:val="22"/>
          <w:szCs w:val="22"/>
          <w:lang w:bidi="he-IL"/>
        </w:rPr>
        <w:t>School</w:t>
      </w:r>
      <w:r w:rsidRPr="00312703">
        <w:rPr>
          <w:rFonts w:asciiTheme="minorHAnsi" w:hAnsiTheme="minorHAnsi" w:cs="Courier New"/>
          <w:sz w:val="22"/>
          <w:szCs w:val="22"/>
          <w:lang w:bidi="he-IL"/>
        </w:rPr>
        <w:t xml:space="preserve">, to the </w:t>
      </w:r>
      <w:r>
        <w:rPr>
          <w:rFonts w:asciiTheme="minorHAnsi" w:hAnsiTheme="minorHAnsi" w:cs="Courier New"/>
          <w:sz w:val="22"/>
          <w:szCs w:val="22"/>
          <w:lang w:bidi="he-IL"/>
        </w:rPr>
        <w:t>COO or PVC of the College</w:t>
      </w:r>
      <w:r w:rsidRPr="00312703">
        <w:rPr>
          <w:rFonts w:asciiTheme="minorHAnsi" w:hAnsiTheme="minorHAnsi" w:cs="Courier New"/>
          <w:sz w:val="22"/>
          <w:szCs w:val="22"/>
          <w:lang w:bidi="he-IL"/>
        </w:rPr>
        <w:t>) via the declaration of interest form</w:t>
      </w:r>
      <w:r>
        <w:rPr>
          <w:rFonts w:asciiTheme="minorHAnsi" w:hAnsiTheme="minorHAnsi" w:cs="Courier New"/>
          <w:sz w:val="22"/>
          <w:szCs w:val="22"/>
          <w:lang w:bidi="he-IL"/>
        </w:rPr>
        <w:t>.</w:t>
      </w:r>
      <w:r w:rsidR="00E50424">
        <w:rPr>
          <w:rFonts w:asciiTheme="minorHAnsi" w:hAnsiTheme="minorHAnsi" w:cs="Courier New"/>
          <w:sz w:val="22"/>
          <w:szCs w:val="22"/>
          <w:lang w:bidi="he-IL"/>
        </w:rPr>
        <w:t xml:space="preserve"> This must be done:</w:t>
      </w:r>
    </w:p>
    <w:p w14:paraId="5B0F1E74" w14:textId="7F4185D5" w:rsidR="00E50424" w:rsidRDefault="00E50424" w:rsidP="00E50424">
      <w:pPr>
        <w:pStyle w:val="ListParagraph"/>
        <w:numPr>
          <w:ilvl w:val="0"/>
          <w:numId w:val="14"/>
        </w:num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he-IL"/>
        </w:rPr>
        <w:t>No later than at the time of application for PHS-funded research</w:t>
      </w:r>
    </w:p>
    <w:p w14:paraId="3F7D1666" w14:textId="77777777" w:rsidR="00E50424" w:rsidRDefault="00E50424" w:rsidP="00E50424">
      <w:pPr>
        <w:pStyle w:val="ListParagraph"/>
        <w:numPr>
          <w:ilvl w:val="0"/>
          <w:numId w:val="14"/>
        </w:num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he-IL"/>
        </w:rPr>
        <w:t>At least annually during the period of the award</w:t>
      </w:r>
    </w:p>
    <w:p w14:paraId="7920AA77" w14:textId="3FC3372F" w:rsidR="00312703" w:rsidRDefault="00E50424" w:rsidP="00E50424">
      <w:pPr>
        <w:pStyle w:val="ListParagraph"/>
        <w:numPr>
          <w:ilvl w:val="0"/>
          <w:numId w:val="14"/>
        </w:num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he-IL"/>
        </w:rPr>
        <w:t>Within 30 days of discovering or acquiring a new significant financial interest</w:t>
      </w:r>
      <w:r w:rsidRPr="00E50424">
        <w:rPr>
          <w:rFonts w:asciiTheme="minorHAnsi" w:hAnsiTheme="minorHAnsi" w:cs="Courier New"/>
          <w:sz w:val="22"/>
          <w:szCs w:val="22"/>
          <w:lang w:bidi="he-IL"/>
        </w:rPr>
        <w:t xml:space="preserve"> </w:t>
      </w:r>
    </w:p>
    <w:p w14:paraId="6C3D695E" w14:textId="379BDADD" w:rsidR="000E3A6A" w:rsidRPr="000E3A6A" w:rsidRDefault="000E3A6A" w:rsidP="000E3A6A">
      <w:pPr>
        <w:rPr>
          <w:rFonts w:asciiTheme="minorHAnsi" w:hAnsiTheme="minorHAnsi" w:cstheme="minorHAnsi"/>
          <w:sz w:val="22"/>
          <w:szCs w:val="22"/>
        </w:rPr>
      </w:pPr>
      <w:r w:rsidRPr="000E3A6A">
        <w:rPr>
          <w:rFonts w:asciiTheme="minorHAnsi" w:hAnsiTheme="minorHAnsi" w:cstheme="minorHAnsi"/>
          <w:sz w:val="22"/>
          <w:szCs w:val="22"/>
        </w:rPr>
        <w:t xml:space="preserve">The declaration form is available in appendix </w:t>
      </w:r>
      <w:r w:rsidR="00AC0E53">
        <w:rPr>
          <w:rFonts w:asciiTheme="minorHAnsi" w:hAnsiTheme="minorHAnsi" w:cstheme="minorHAnsi"/>
          <w:sz w:val="22"/>
          <w:szCs w:val="22"/>
        </w:rPr>
        <w:t>1.</w:t>
      </w:r>
      <w:r w:rsidRPr="000E3A6A">
        <w:rPr>
          <w:rFonts w:asciiTheme="minorHAnsi" w:hAnsiTheme="minorHAnsi" w:cstheme="minorHAnsi"/>
          <w:sz w:val="22"/>
          <w:szCs w:val="22"/>
        </w:rPr>
        <w:t xml:space="preserve"> </w:t>
      </w:r>
    </w:p>
    <w:p w14:paraId="788D6AE3" w14:textId="644A8F22" w:rsidR="00312703" w:rsidRDefault="00312703" w:rsidP="006A1E2D">
      <w:pPr>
        <w:autoSpaceDE w:val="0"/>
        <w:autoSpaceDN w:val="0"/>
        <w:adjustRightInd w:val="0"/>
        <w:jc w:val="both"/>
        <w:rPr>
          <w:rFonts w:asciiTheme="minorHAnsi" w:hAnsiTheme="minorHAnsi" w:cs="Courier New"/>
          <w:sz w:val="22"/>
          <w:szCs w:val="22"/>
          <w:lang w:bidi="he-IL"/>
        </w:rPr>
      </w:pPr>
    </w:p>
    <w:p w14:paraId="1B61F12F" w14:textId="4B63CC19" w:rsidR="00312703" w:rsidRDefault="00312703" w:rsidP="006A1E2D">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he-IL"/>
        </w:rPr>
        <w:t>Where a conflict is identified and a management plan agreed with the NIH, the Investigator must produce annual updates on how the conflict is being managed</w:t>
      </w:r>
    </w:p>
    <w:p w14:paraId="73A85A91" w14:textId="1CA7738D" w:rsidR="00312703" w:rsidRDefault="00312703" w:rsidP="006A1E2D">
      <w:pPr>
        <w:autoSpaceDE w:val="0"/>
        <w:autoSpaceDN w:val="0"/>
        <w:adjustRightInd w:val="0"/>
        <w:jc w:val="both"/>
        <w:rPr>
          <w:rFonts w:asciiTheme="minorHAnsi" w:hAnsiTheme="minorHAnsi" w:cs="Courier New"/>
          <w:sz w:val="22"/>
          <w:szCs w:val="22"/>
          <w:lang w:bidi="he-IL"/>
        </w:rPr>
      </w:pPr>
    </w:p>
    <w:p w14:paraId="5F08B0FA" w14:textId="4A54AF23" w:rsidR="00312703" w:rsidRPr="00F520F8" w:rsidRDefault="00312703" w:rsidP="006A1E2D">
      <w:pPr>
        <w:autoSpaceDE w:val="0"/>
        <w:autoSpaceDN w:val="0"/>
        <w:adjustRightInd w:val="0"/>
        <w:jc w:val="both"/>
        <w:rPr>
          <w:rFonts w:asciiTheme="minorHAnsi" w:hAnsiTheme="minorHAnsi" w:cs="Courier New"/>
          <w:sz w:val="22"/>
          <w:szCs w:val="22"/>
          <w:lang w:bidi="he-IL"/>
        </w:rPr>
      </w:pPr>
      <w:r w:rsidRPr="00312703">
        <w:rPr>
          <w:rFonts w:asciiTheme="minorHAnsi" w:hAnsiTheme="minorHAnsi" w:cs="Courier New"/>
          <w:sz w:val="22"/>
          <w:szCs w:val="22"/>
          <w:lang w:bidi="he-IL"/>
        </w:rPr>
        <w:t xml:space="preserve">NIH-funded investigators are also required to familiarise themselves with the </w:t>
      </w:r>
      <w:r>
        <w:rPr>
          <w:rFonts w:asciiTheme="minorHAnsi" w:hAnsiTheme="minorHAnsi" w:cs="Courier New"/>
          <w:sz w:val="22"/>
          <w:szCs w:val="22"/>
          <w:lang w:bidi="he-IL"/>
        </w:rPr>
        <w:t>U</w:t>
      </w:r>
      <w:r w:rsidRPr="00312703">
        <w:rPr>
          <w:rFonts w:asciiTheme="minorHAnsi" w:hAnsiTheme="minorHAnsi" w:cs="Courier New"/>
          <w:sz w:val="22"/>
          <w:szCs w:val="22"/>
          <w:lang w:bidi="he-IL"/>
        </w:rPr>
        <w:t>niversity’s policy on conflict of interest</w:t>
      </w:r>
      <w:r>
        <w:rPr>
          <w:rFonts w:asciiTheme="minorHAnsi" w:hAnsiTheme="minorHAnsi" w:cs="Courier New"/>
          <w:sz w:val="22"/>
          <w:szCs w:val="22"/>
          <w:lang w:bidi="he-IL"/>
        </w:rPr>
        <w:t>.</w:t>
      </w:r>
    </w:p>
    <w:p w14:paraId="21DFF97C" w14:textId="2872E011" w:rsidR="00312703" w:rsidRDefault="00312703" w:rsidP="00D76992">
      <w:pPr>
        <w:jc w:val="both"/>
        <w:rPr>
          <w:rFonts w:asciiTheme="minorHAnsi" w:hAnsiTheme="minorHAnsi" w:cs="Arial"/>
          <w:b/>
          <w:color w:val="292526"/>
          <w:sz w:val="22"/>
          <w:szCs w:val="22"/>
          <w:lang w:bidi="he-IL"/>
        </w:rPr>
      </w:pPr>
    </w:p>
    <w:p w14:paraId="679DF8AE" w14:textId="05DE9B98" w:rsidR="00312703" w:rsidRDefault="00312703" w:rsidP="00312703">
      <w:pPr>
        <w:autoSpaceDE w:val="0"/>
        <w:autoSpaceDN w:val="0"/>
        <w:adjustRightInd w:val="0"/>
        <w:jc w:val="both"/>
        <w:rPr>
          <w:rFonts w:asciiTheme="minorHAnsi" w:hAnsiTheme="minorHAnsi" w:cs="Courier New"/>
          <w:b/>
          <w:bCs/>
          <w:sz w:val="22"/>
          <w:szCs w:val="22"/>
          <w:lang w:bidi="he-IL"/>
        </w:rPr>
      </w:pPr>
      <w:r w:rsidRPr="00C67AB8">
        <w:rPr>
          <w:rFonts w:asciiTheme="minorHAnsi" w:hAnsiTheme="minorHAnsi" w:cs="Courier New"/>
          <w:b/>
          <w:bCs/>
          <w:sz w:val="22"/>
          <w:szCs w:val="22"/>
          <w:lang w:bidi="he-IL"/>
        </w:rPr>
        <w:t xml:space="preserve">Responsibilities of the </w:t>
      </w:r>
      <w:r>
        <w:rPr>
          <w:rFonts w:asciiTheme="minorHAnsi" w:hAnsiTheme="minorHAnsi" w:cs="Courier New"/>
          <w:b/>
          <w:bCs/>
          <w:sz w:val="22"/>
          <w:szCs w:val="22"/>
          <w:lang w:bidi="he-IL"/>
        </w:rPr>
        <w:t>University</w:t>
      </w:r>
    </w:p>
    <w:p w14:paraId="4C7A30EB" w14:textId="50732BE1" w:rsidR="000E3A6A" w:rsidRPr="000E3A6A" w:rsidRDefault="000E3A6A" w:rsidP="00312703">
      <w:pPr>
        <w:autoSpaceDE w:val="0"/>
        <w:autoSpaceDN w:val="0"/>
        <w:adjustRightInd w:val="0"/>
        <w:jc w:val="both"/>
        <w:rPr>
          <w:rFonts w:asciiTheme="minorHAnsi" w:hAnsiTheme="minorHAnsi" w:cs="Courier New"/>
          <w:b/>
          <w:bCs/>
          <w:i/>
          <w:iCs/>
          <w:sz w:val="22"/>
          <w:szCs w:val="22"/>
          <w:lang w:bidi="he-IL"/>
        </w:rPr>
      </w:pPr>
      <w:r>
        <w:rPr>
          <w:rFonts w:asciiTheme="minorHAnsi" w:hAnsiTheme="minorHAnsi" w:cs="Courier New"/>
          <w:b/>
          <w:bCs/>
          <w:i/>
          <w:iCs/>
          <w:sz w:val="22"/>
          <w:szCs w:val="22"/>
          <w:lang w:bidi="he-IL"/>
        </w:rPr>
        <w:t>Reporting and Managing Significant Financial Interests</w:t>
      </w:r>
    </w:p>
    <w:p w14:paraId="4803D4A2" w14:textId="70281352" w:rsidR="00312703" w:rsidRDefault="00E50424" w:rsidP="00312703">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he-IL"/>
        </w:rPr>
        <w:t xml:space="preserve">When a </w:t>
      </w:r>
      <w:r w:rsidR="00C47C6B">
        <w:rPr>
          <w:rFonts w:asciiTheme="minorHAnsi" w:hAnsiTheme="minorHAnsi" w:cs="Courier New"/>
          <w:sz w:val="22"/>
          <w:szCs w:val="22"/>
          <w:lang w:bidi="he-IL"/>
        </w:rPr>
        <w:t xml:space="preserve">significant financial interest is disclosed, the Head of Department/School should review the declaration and evaluate whether it could present a financial conflict of interest. Where it is decided that a financial conflict of interest could exist then this should be referred to the University Secretary together with a plan for how the conflict can be reduced, </w:t>
      </w:r>
      <w:proofErr w:type="gramStart"/>
      <w:r w:rsidR="00C47C6B">
        <w:rPr>
          <w:rFonts w:asciiTheme="minorHAnsi" w:hAnsiTheme="minorHAnsi" w:cs="Courier New"/>
          <w:sz w:val="22"/>
          <w:szCs w:val="22"/>
          <w:lang w:bidi="he-IL"/>
        </w:rPr>
        <w:t>eliminated</w:t>
      </w:r>
      <w:proofErr w:type="gramEnd"/>
      <w:r w:rsidR="00C47C6B">
        <w:rPr>
          <w:rFonts w:asciiTheme="minorHAnsi" w:hAnsiTheme="minorHAnsi" w:cs="Courier New"/>
          <w:sz w:val="22"/>
          <w:szCs w:val="22"/>
          <w:lang w:bidi="he-IL"/>
        </w:rPr>
        <w:t xml:space="preserve"> or managed. The University </w:t>
      </w:r>
      <w:r w:rsidR="00C47C6B">
        <w:rPr>
          <w:rFonts w:asciiTheme="minorHAnsi" w:hAnsiTheme="minorHAnsi" w:cs="Courier New"/>
          <w:sz w:val="22"/>
          <w:szCs w:val="22"/>
          <w:lang w:bidi="he-IL"/>
        </w:rPr>
        <w:lastRenderedPageBreak/>
        <w:t>Secretary will then liaise with Research and Innovation Services, who will submit the plan to the NIH via their electronic Research Administration (</w:t>
      </w:r>
      <w:proofErr w:type="spellStart"/>
      <w:r w:rsidR="00C47C6B">
        <w:rPr>
          <w:rFonts w:asciiTheme="minorHAnsi" w:hAnsiTheme="minorHAnsi" w:cs="Courier New"/>
          <w:sz w:val="22"/>
          <w:szCs w:val="22"/>
          <w:lang w:bidi="he-IL"/>
        </w:rPr>
        <w:t>eRA</w:t>
      </w:r>
      <w:proofErr w:type="spellEnd"/>
      <w:r w:rsidR="00C47C6B">
        <w:rPr>
          <w:rFonts w:asciiTheme="minorHAnsi" w:hAnsiTheme="minorHAnsi" w:cs="Courier New"/>
          <w:sz w:val="22"/>
          <w:szCs w:val="22"/>
          <w:lang w:bidi="he-IL"/>
        </w:rPr>
        <w:t>) Commons financial conflicts of interest module.</w:t>
      </w:r>
      <w:r w:rsidR="001918E5">
        <w:rPr>
          <w:rFonts w:asciiTheme="minorHAnsi" w:hAnsiTheme="minorHAnsi" w:cs="Courier New"/>
          <w:sz w:val="22"/>
          <w:szCs w:val="22"/>
          <w:lang w:bidi="he-IL"/>
        </w:rPr>
        <w:t xml:space="preserve"> </w:t>
      </w:r>
    </w:p>
    <w:p w14:paraId="78643B56" w14:textId="38455B23" w:rsidR="001918E5" w:rsidRDefault="001918E5" w:rsidP="00312703">
      <w:pPr>
        <w:autoSpaceDE w:val="0"/>
        <w:autoSpaceDN w:val="0"/>
        <w:adjustRightInd w:val="0"/>
        <w:jc w:val="both"/>
        <w:rPr>
          <w:rFonts w:asciiTheme="minorHAnsi" w:hAnsiTheme="minorHAnsi" w:cs="Courier New"/>
          <w:sz w:val="22"/>
          <w:szCs w:val="22"/>
          <w:lang w:bidi="he-IL"/>
        </w:rPr>
      </w:pPr>
    </w:p>
    <w:p w14:paraId="57C62228" w14:textId="5B33657B" w:rsidR="001918E5" w:rsidRDefault="001918E5" w:rsidP="00312703">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he-IL"/>
        </w:rPr>
        <w:t>The University will report any financial conflicts of interest to the NIH:</w:t>
      </w:r>
    </w:p>
    <w:p w14:paraId="5DC8FFD1" w14:textId="69C2DE42" w:rsidR="001918E5" w:rsidRDefault="001918E5" w:rsidP="001918E5">
      <w:pPr>
        <w:pStyle w:val="ListParagraph"/>
        <w:numPr>
          <w:ilvl w:val="0"/>
          <w:numId w:val="15"/>
        </w:num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he-IL"/>
        </w:rPr>
        <w:t>Prior to the expenditure of funds</w:t>
      </w:r>
    </w:p>
    <w:p w14:paraId="73D57CC4" w14:textId="1E7C2025" w:rsidR="001918E5" w:rsidRDefault="001918E5" w:rsidP="001918E5">
      <w:pPr>
        <w:pStyle w:val="ListParagraph"/>
        <w:numPr>
          <w:ilvl w:val="0"/>
          <w:numId w:val="15"/>
        </w:num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he-IL"/>
        </w:rPr>
        <w:t>Within 60 days of identification for an Investigator who is newly participating in the project</w:t>
      </w:r>
    </w:p>
    <w:p w14:paraId="1AE9EE35" w14:textId="1CBC3EEE" w:rsidR="001918E5" w:rsidRDefault="001918E5" w:rsidP="001918E5">
      <w:pPr>
        <w:pStyle w:val="ListParagraph"/>
        <w:numPr>
          <w:ilvl w:val="0"/>
          <w:numId w:val="15"/>
        </w:numPr>
        <w:autoSpaceDE w:val="0"/>
        <w:autoSpaceDN w:val="0"/>
        <w:adjustRightInd w:val="0"/>
        <w:jc w:val="both"/>
        <w:rPr>
          <w:rFonts w:asciiTheme="minorHAnsi" w:hAnsiTheme="minorHAnsi" w:cs="Courier New"/>
          <w:sz w:val="22"/>
          <w:szCs w:val="22"/>
          <w:lang w:bidi="he-IL"/>
        </w:rPr>
      </w:pPr>
      <w:r w:rsidRPr="001918E5">
        <w:rPr>
          <w:rFonts w:asciiTheme="minorHAnsi" w:hAnsiTheme="minorHAnsi" w:cs="Courier New"/>
          <w:sz w:val="22"/>
          <w:szCs w:val="22"/>
          <w:lang w:bidi="he-IL"/>
        </w:rPr>
        <w:t>Within 60 days for new, or newly identified, FCOIs for existing</w:t>
      </w:r>
      <w:r>
        <w:rPr>
          <w:rFonts w:asciiTheme="minorHAnsi" w:hAnsiTheme="minorHAnsi" w:cs="Courier New"/>
          <w:sz w:val="22"/>
          <w:szCs w:val="22"/>
          <w:lang w:bidi="he-IL"/>
        </w:rPr>
        <w:t xml:space="preserve"> </w:t>
      </w:r>
      <w:r w:rsidRPr="001918E5">
        <w:rPr>
          <w:rFonts w:asciiTheme="minorHAnsi" w:hAnsiTheme="minorHAnsi" w:cs="Courier New"/>
          <w:sz w:val="22"/>
          <w:szCs w:val="22"/>
          <w:lang w:bidi="he-IL"/>
        </w:rPr>
        <w:t>Investigators</w:t>
      </w:r>
    </w:p>
    <w:p w14:paraId="7CC6ED00" w14:textId="0363BCAC" w:rsidR="001918E5" w:rsidRDefault="001918E5" w:rsidP="001918E5">
      <w:pPr>
        <w:pStyle w:val="ListParagraph"/>
        <w:numPr>
          <w:ilvl w:val="0"/>
          <w:numId w:val="15"/>
        </w:numPr>
        <w:autoSpaceDE w:val="0"/>
        <w:autoSpaceDN w:val="0"/>
        <w:adjustRightInd w:val="0"/>
        <w:jc w:val="both"/>
        <w:rPr>
          <w:rFonts w:asciiTheme="minorHAnsi" w:hAnsiTheme="minorHAnsi" w:cs="Courier New"/>
          <w:sz w:val="22"/>
          <w:szCs w:val="22"/>
          <w:lang w:bidi="he-IL"/>
        </w:rPr>
      </w:pPr>
      <w:r w:rsidRPr="001918E5">
        <w:rPr>
          <w:rFonts w:asciiTheme="minorHAnsi" w:hAnsiTheme="minorHAnsi" w:cs="Courier New"/>
          <w:sz w:val="22"/>
          <w:szCs w:val="22"/>
          <w:lang w:bidi="he-IL"/>
        </w:rPr>
        <w:t>At least annually (at the same time as when the Institution is required</w:t>
      </w:r>
      <w:r>
        <w:rPr>
          <w:rFonts w:asciiTheme="minorHAnsi" w:hAnsiTheme="minorHAnsi" w:cs="Courier New"/>
          <w:sz w:val="22"/>
          <w:szCs w:val="22"/>
          <w:lang w:bidi="he-IL"/>
        </w:rPr>
        <w:t xml:space="preserve"> </w:t>
      </w:r>
      <w:r w:rsidRPr="001918E5">
        <w:rPr>
          <w:rFonts w:asciiTheme="minorHAnsi" w:hAnsiTheme="minorHAnsi" w:cs="Courier New"/>
          <w:sz w:val="22"/>
          <w:szCs w:val="22"/>
          <w:lang w:bidi="he-IL"/>
        </w:rPr>
        <w:t>to submit the annual</w:t>
      </w:r>
      <w:r>
        <w:rPr>
          <w:rFonts w:asciiTheme="minorHAnsi" w:hAnsiTheme="minorHAnsi" w:cs="Courier New"/>
          <w:sz w:val="22"/>
          <w:szCs w:val="22"/>
          <w:lang w:bidi="he-IL"/>
        </w:rPr>
        <w:t xml:space="preserve"> </w:t>
      </w:r>
      <w:r w:rsidRPr="001918E5">
        <w:rPr>
          <w:rFonts w:asciiTheme="minorHAnsi" w:hAnsiTheme="minorHAnsi" w:cs="Courier New"/>
          <w:sz w:val="22"/>
          <w:szCs w:val="22"/>
          <w:lang w:bidi="he-IL"/>
        </w:rPr>
        <w:t>progress report, multi-year progress report, if</w:t>
      </w:r>
      <w:r>
        <w:rPr>
          <w:rFonts w:asciiTheme="minorHAnsi" w:hAnsiTheme="minorHAnsi" w:cs="Courier New"/>
          <w:sz w:val="22"/>
          <w:szCs w:val="22"/>
          <w:lang w:bidi="he-IL"/>
        </w:rPr>
        <w:t xml:space="preserve"> </w:t>
      </w:r>
      <w:r w:rsidRPr="001918E5">
        <w:rPr>
          <w:rFonts w:asciiTheme="minorHAnsi" w:hAnsiTheme="minorHAnsi" w:cs="Courier New"/>
          <w:sz w:val="22"/>
          <w:szCs w:val="22"/>
          <w:lang w:bidi="he-IL"/>
        </w:rPr>
        <w:t>applicable, or at time of extension) to provide</w:t>
      </w:r>
      <w:r>
        <w:rPr>
          <w:rFonts w:asciiTheme="minorHAnsi" w:hAnsiTheme="minorHAnsi" w:cs="Courier New"/>
          <w:sz w:val="22"/>
          <w:szCs w:val="22"/>
          <w:lang w:bidi="he-IL"/>
        </w:rPr>
        <w:t xml:space="preserve"> </w:t>
      </w:r>
      <w:r w:rsidRPr="001918E5">
        <w:rPr>
          <w:rFonts w:asciiTheme="minorHAnsi" w:hAnsiTheme="minorHAnsi" w:cs="Courier New"/>
          <w:sz w:val="22"/>
          <w:szCs w:val="22"/>
          <w:lang w:bidi="he-IL"/>
        </w:rPr>
        <w:t>the status of the FCOI</w:t>
      </w:r>
      <w:r>
        <w:rPr>
          <w:rFonts w:asciiTheme="minorHAnsi" w:hAnsiTheme="minorHAnsi" w:cs="Courier New"/>
          <w:sz w:val="22"/>
          <w:szCs w:val="22"/>
          <w:lang w:bidi="he-IL"/>
        </w:rPr>
        <w:t xml:space="preserve"> </w:t>
      </w:r>
      <w:r w:rsidRPr="001918E5">
        <w:rPr>
          <w:rFonts w:asciiTheme="minorHAnsi" w:hAnsiTheme="minorHAnsi" w:cs="Courier New"/>
          <w:sz w:val="22"/>
          <w:szCs w:val="22"/>
          <w:lang w:bidi="he-IL"/>
        </w:rPr>
        <w:t>and any changes to the management plan, if applicable, until the</w:t>
      </w:r>
      <w:r>
        <w:rPr>
          <w:rFonts w:asciiTheme="minorHAnsi" w:hAnsiTheme="minorHAnsi" w:cs="Courier New"/>
          <w:sz w:val="22"/>
          <w:szCs w:val="22"/>
          <w:lang w:bidi="he-IL"/>
        </w:rPr>
        <w:t xml:space="preserve"> </w:t>
      </w:r>
      <w:r w:rsidRPr="001918E5">
        <w:rPr>
          <w:rFonts w:asciiTheme="minorHAnsi" w:hAnsiTheme="minorHAnsi" w:cs="Courier New"/>
          <w:sz w:val="22"/>
          <w:szCs w:val="22"/>
          <w:lang w:bidi="he-IL"/>
        </w:rPr>
        <w:t>completion of the project.</w:t>
      </w:r>
    </w:p>
    <w:p w14:paraId="2449B601" w14:textId="0C7397AA" w:rsidR="001918E5" w:rsidRPr="001918E5" w:rsidRDefault="001918E5" w:rsidP="001918E5">
      <w:pPr>
        <w:pStyle w:val="ListParagraph"/>
        <w:numPr>
          <w:ilvl w:val="0"/>
          <w:numId w:val="15"/>
        </w:numPr>
        <w:autoSpaceDE w:val="0"/>
        <w:autoSpaceDN w:val="0"/>
        <w:adjustRightInd w:val="0"/>
        <w:jc w:val="both"/>
        <w:rPr>
          <w:rFonts w:asciiTheme="minorHAnsi" w:hAnsiTheme="minorHAnsi" w:cs="Courier New"/>
          <w:sz w:val="22"/>
          <w:szCs w:val="22"/>
          <w:lang w:bidi="he-IL"/>
        </w:rPr>
      </w:pPr>
      <w:r w:rsidRPr="001918E5">
        <w:rPr>
          <w:rFonts w:asciiTheme="minorHAnsi" w:hAnsiTheme="minorHAnsi" w:cs="Courier New"/>
          <w:sz w:val="22"/>
          <w:szCs w:val="22"/>
          <w:lang w:bidi="he-IL"/>
        </w:rPr>
        <w:t>Following a retrospective review to update a previously submitted</w:t>
      </w:r>
      <w:r>
        <w:rPr>
          <w:rFonts w:asciiTheme="minorHAnsi" w:hAnsiTheme="minorHAnsi" w:cs="Courier New"/>
          <w:sz w:val="22"/>
          <w:szCs w:val="22"/>
          <w:lang w:bidi="he-IL"/>
        </w:rPr>
        <w:t xml:space="preserve"> </w:t>
      </w:r>
      <w:r w:rsidRPr="001918E5">
        <w:rPr>
          <w:rFonts w:asciiTheme="minorHAnsi" w:hAnsiTheme="minorHAnsi" w:cs="Courier New"/>
          <w:sz w:val="22"/>
          <w:szCs w:val="22"/>
          <w:lang w:bidi="he-IL"/>
        </w:rPr>
        <w:t>report, if appropriate</w:t>
      </w:r>
      <w:r>
        <w:rPr>
          <w:rFonts w:asciiTheme="minorHAnsi" w:hAnsiTheme="minorHAnsi" w:cs="Courier New"/>
          <w:sz w:val="22"/>
          <w:szCs w:val="22"/>
          <w:lang w:bidi="he-IL"/>
        </w:rPr>
        <w:t>.</w:t>
      </w:r>
    </w:p>
    <w:p w14:paraId="78A65642" w14:textId="2048276D" w:rsidR="00C47C6B" w:rsidRDefault="00C47C6B" w:rsidP="00312703">
      <w:pPr>
        <w:autoSpaceDE w:val="0"/>
        <w:autoSpaceDN w:val="0"/>
        <w:adjustRightInd w:val="0"/>
        <w:jc w:val="both"/>
        <w:rPr>
          <w:rFonts w:asciiTheme="minorHAnsi" w:hAnsiTheme="minorHAnsi" w:cs="Courier New"/>
          <w:sz w:val="22"/>
          <w:szCs w:val="22"/>
          <w:lang w:bidi="he-IL"/>
        </w:rPr>
      </w:pPr>
    </w:p>
    <w:p w14:paraId="0B1D4769" w14:textId="73724855" w:rsidR="00C47C6B" w:rsidRDefault="00C47C6B" w:rsidP="00312703">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he-IL"/>
        </w:rPr>
        <w:t>The University must report to the NIH additional information, as required by the NIH, on identified financial conflicts of interest and how they are being managed.</w:t>
      </w:r>
    </w:p>
    <w:p w14:paraId="148D6AC7" w14:textId="104607C6" w:rsidR="00C47C6B" w:rsidRDefault="00C47C6B" w:rsidP="00312703">
      <w:pPr>
        <w:autoSpaceDE w:val="0"/>
        <w:autoSpaceDN w:val="0"/>
        <w:adjustRightInd w:val="0"/>
        <w:jc w:val="both"/>
        <w:rPr>
          <w:rFonts w:asciiTheme="minorHAnsi" w:hAnsiTheme="minorHAnsi" w:cs="Courier New"/>
          <w:sz w:val="22"/>
          <w:szCs w:val="22"/>
          <w:lang w:bidi="he-IL"/>
        </w:rPr>
      </w:pPr>
    </w:p>
    <w:p w14:paraId="2D1DF427" w14:textId="226FE6FE" w:rsidR="000E3A6A" w:rsidRPr="000E3A6A" w:rsidRDefault="000E3A6A" w:rsidP="00312703">
      <w:pPr>
        <w:autoSpaceDE w:val="0"/>
        <w:autoSpaceDN w:val="0"/>
        <w:adjustRightInd w:val="0"/>
        <w:jc w:val="both"/>
        <w:rPr>
          <w:rFonts w:asciiTheme="minorHAnsi" w:hAnsiTheme="minorHAnsi" w:cs="Courier New"/>
          <w:b/>
          <w:bCs/>
          <w:i/>
          <w:iCs/>
          <w:sz w:val="22"/>
          <w:szCs w:val="22"/>
          <w:lang w:bidi="he-IL"/>
        </w:rPr>
      </w:pPr>
      <w:r>
        <w:rPr>
          <w:rFonts w:asciiTheme="minorHAnsi" w:hAnsiTheme="minorHAnsi" w:cs="Courier New"/>
          <w:b/>
          <w:bCs/>
          <w:i/>
          <w:iCs/>
          <w:sz w:val="22"/>
          <w:szCs w:val="22"/>
          <w:lang w:bidi="he-IL"/>
        </w:rPr>
        <w:t>Public Accessibility</w:t>
      </w:r>
    </w:p>
    <w:p w14:paraId="69A4E23C" w14:textId="6D674062" w:rsidR="00C47C6B" w:rsidRDefault="00C47C6B" w:rsidP="00312703">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he-IL"/>
        </w:rPr>
        <w:t xml:space="preserve">The University is required to make certain information accessible to the public concerning identified financial conflicts of interest held by senior/key personnel as detailed on the NIH website (Section G): </w:t>
      </w:r>
      <w:hyperlink r:id="rId11" w:anchor="/financial-conflict-of-interest.htm?anchor=header11122" w:history="1">
        <w:r w:rsidRPr="00FF0C65">
          <w:rPr>
            <w:rStyle w:val="Hyperlink"/>
            <w:rFonts w:asciiTheme="minorHAnsi" w:hAnsiTheme="minorHAnsi" w:cs="Courier New"/>
            <w:sz w:val="22"/>
            <w:szCs w:val="22"/>
            <w:lang w:bidi="he-IL"/>
          </w:rPr>
          <w:t>https://grants.nih.gov/faqs#/financial-conflict-of-interest.htm?anchor=header11122</w:t>
        </w:r>
      </w:hyperlink>
    </w:p>
    <w:p w14:paraId="729EC333" w14:textId="77777777" w:rsidR="00C47C6B" w:rsidRPr="00312703" w:rsidRDefault="00C47C6B" w:rsidP="00312703">
      <w:pPr>
        <w:autoSpaceDE w:val="0"/>
        <w:autoSpaceDN w:val="0"/>
        <w:adjustRightInd w:val="0"/>
        <w:jc w:val="both"/>
        <w:rPr>
          <w:rFonts w:asciiTheme="minorHAnsi" w:hAnsiTheme="minorHAnsi" w:cs="Courier New"/>
          <w:sz w:val="22"/>
          <w:szCs w:val="22"/>
          <w:lang w:bidi="he-IL"/>
        </w:rPr>
      </w:pPr>
    </w:p>
    <w:p w14:paraId="47A8D3BD" w14:textId="12C41428" w:rsidR="000E3A6A" w:rsidRPr="000E3A6A" w:rsidRDefault="000E3A6A" w:rsidP="00D76992">
      <w:pPr>
        <w:jc w:val="both"/>
        <w:rPr>
          <w:rFonts w:asciiTheme="minorHAnsi" w:hAnsiTheme="minorHAnsi" w:cs="Arial"/>
          <w:b/>
          <w:i/>
          <w:iCs/>
          <w:color w:val="292526"/>
          <w:sz w:val="22"/>
          <w:szCs w:val="22"/>
          <w:lang w:bidi="he-IL"/>
        </w:rPr>
      </w:pPr>
      <w:r>
        <w:rPr>
          <w:rFonts w:asciiTheme="minorHAnsi" w:hAnsiTheme="minorHAnsi" w:cs="Arial"/>
          <w:b/>
          <w:i/>
          <w:iCs/>
          <w:color w:val="292526"/>
          <w:sz w:val="22"/>
          <w:szCs w:val="22"/>
          <w:lang w:bidi="he-IL"/>
        </w:rPr>
        <w:t>Subrecipients</w:t>
      </w:r>
    </w:p>
    <w:p w14:paraId="5A0AB3BB" w14:textId="39FD5B6A" w:rsidR="00312703" w:rsidRDefault="001530E5" w:rsidP="00D76992">
      <w:pPr>
        <w:jc w:val="both"/>
        <w:rPr>
          <w:rFonts w:asciiTheme="minorHAnsi" w:hAnsiTheme="minorHAnsi" w:cs="Arial"/>
          <w:bCs/>
          <w:color w:val="292526"/>
          <w:sz w:val="22"/>
          <w:szCs w:val="22"/>
          <w:lang w:bidi="he-IL"/>
        </w:rPr>
      </w:pPr>
      <w:r w:rsidRPr="001530E5">
        <w:rPr>
          <w:rFonts w:asciiTheme="minorHAnsi" w:hAnsiTheme="minorHAnsi" w:cs="Arial"/>
          <w:bCs/>
          <w:color w:val="292526"/>
          <w:sz w:val="22"/>
          <w:szCs w:val="22"/>
          <w:lang w:bidi="he-IL"/>
        </w:rPr>
        <w:t>Where there are subrecipients of any NIH awarded grant, the University will review the subrecipient’s financial conflict of interest policy to ensure it meets the minimum requirements set-out in this policy. Where the policy does not meet the minimum requirements then a written agreement will be established to ensure that the subrecipient follow’s the University’s own policy as detailed here.</w:t>
      </w:r>
    </w:p>
    <w:p w14:paraId="1F1A034F" w14:textId="43FDA66C" w:rsidR="001530E5" w:rsidRDefault="001530E5" w:rsidP="00D76992">
      <w:pPr>
        <w:jc w:val="both"/>
        <w:rPr>
          <w:rFonts w:asciiTheme="minorHAnsi" w:hAnsiTheme="minorHAnsi" w:cs="Arial"/>
          <w:bCs/>
          <w:color w:val="292526"/>
          <w:sz w:val="22"/>
          <w:szCs w:val="22"/>
          <w:lang w:bidi="he-IL"/>
        </w:rPr>
      </w:pPr>
    </w:p>
    <w:p w14:paraId="2182C1D5" w14:textId="4CCDBF3F" w:rsidR="000E3A6A" w:rsidRPr="000E3A6A" w:rsidRDefault="000E3A6A" w:rsidP="00D76992">
      <w:pPr>
        <w:jc w:val="both"/>
        <w:rPr>
          <w:rFonts w:asciiTheme="minorHAnsi" w:hAnsiTheme="minorHAnsi" w:cs="Arial"/>
          <w:b/>
          <w:i/>
          <w:iCs/>
          <w:color w:val="292526"/>
          <w:sz w:val="22"/>
          <w:szCs w:val="22"/>
          <w:lang w:bidi="he-IL"/>
        </w:rPr>
      </w:pPr>
      <w:r>
        <w:rPr>
          <w:rFonts w:asciiTheme="minorHAnsi" w:hAnsiTheme="minorHAnsi" w:cs="Arial"/>
          <w:b/>
          <w:i/>
          <w:iCs/>
          <w:color w:val="292526"/>
          <w:sz w:val="22"/>
          <w:szCs w:val="22"/>
          <w:lang w:bidi="he-IL"/>
        </w:rPr>
        <w:t>Non-compliance</w:t>
      </w:r>
    </w:p>
    <w:p w14:paraId="74E643F7" w14:textId="3FC62E20" w:rsidR="001530E5" w:rsidRDefault="001530E5" w:rsidP="00D76992">
      <w:pPr>
        <w:jc w:val="both"/>
        <w:rPr>
          <w:rFonts w:asciiTheme="minorHAnsi" w:hAnsiTheme="minorHAnsi" w:cs="Arial"/>
          <w:bCs/>
          <w:color w:val="292526"/>
          <w:sz w:val="22"/>
          <w:szCs w:val="22"/>
          <w:lang w:bidi="he-IL"/>
        </w:rPr>
      </w:pPr>
      <w:r>
        <w:rPr>
          <w:rFonts w:asciiTheme="minorHAnsi" w:hAnsiTheme="minorHAnsi" w:cs="Arial"/>
          <w:bCs/>
          <w:color w:val="292526"/>
          <w:sz w:val="22"/>
          <w:szCs w:val="22"/>
          <w:lang w:bidi="he-IL"/>
        </w:rPr>
        <w:t>Instances of non-compliance with this policy will be reported to and reviewed by O</w:t>
      </w:r>
      <w:r w:rsidR="00AC0E53">
        <w:rPr>
          <w:rFonts w:asciiTheme="minorHAnsi" w:hAnsiTheme="minorHAnsi" w:cs="Arial"/>
          <w:bCs/>
          <w:color w:val="292526"/>
          <w:sz w:val="22"/>
          <w:szCs w:val="22"/>
          <w:lang w:bidi="he-IL"/>
        </w:rPr>
        <w:t xml:space="preserve">pen </w:t>
      </w:r>
      <w:r>
        <w:rPr>
          <w:rFonts w:asciiTheme="minorHAnsi" w:hAnsiTheme="minorHAnsi" w:cs="Arial"/>
          <w:bCs/>
          <w:color w:val="292526"/>
          <w:sz w:val="22"/>
          <w:szCs w:val="22"/>
          <w:lang w:bidi="he-IL"/>
        </w:rPr>
        <w:t>R</w:t>
      </w:r>
      <w:r w:rsidR="00AC0E53">
        <w:rPr>
          <w:rFonts w:asciiTheme="minorHAnsi" w:hAnsiTheme="minorHAnsi" w:cs="Arial"/>
          <w:bCs/>
          <w:color w:val="292526"/>
          <w:sz w:val="22"/>
          <w:szCs w:val="22"/>
          <w:lang w:bidi="he-IL"/>
        </w:rPr>
        <w:t xml:space="preserve">esearch, </w:t>
      </w:r>
      <w:r>
        <w:rPr>
          <w:rFonts w:asciiTheme="minorHAnsi" w:hAnsiTheme="minorHAnsi" w:cs="Arial"/>
          <w:bCs/>
          <w:color w:val="292526"/>
          <w:sz w:val="22"/>
          <w:szCs w:val="22"/>
          <w:lang w:bidi="he-IL"/>
        </w:rPr>
        <w:t>I</w:t>
      </w:r>
      <w:r w:rsidR="00AC0E53">
        <w:rPr>
          <w:rFonts w:asciiTheme="minorHAnsi" w:hAnsiTheme="minorHAnsi" w:cs="Arial"/>
          <w:bCs/>
          <w:color w:val="292526"/>
          <w:sz w:val="22"/>
          <w:szCs w:val="22"/>
          <w:lang w:bidi="he-IL"/>
        </w:rPr>
        <w:t xml:space="preserve">nnovation and </w:t>
      </w:r>
      <w:r>
        <w:rPr>
          <w:rFonts w:asciiTheme="minorHAnsi" w:hAnsiTheme="minorHAnsi" w:cs="Arial"/>
          <w:bCs/>
          <w:color w:val="292526"/>
          <w:sz w:val="22"/>
          <w:szCs w:val="22"/>
          <w:lang w:bidi="he-IL"/>
        </w:rPr>
        <w:t>E</w:t>
      </w:r>
      <w:r w:rsidR="00AC0E53">
        <w:rPr>
          <w:rFonts w:asciiTheme="minorHAnsi" w:hAnsiTheme="minorHAnsi" w:cs="Arial"/>
          <w:bCs/>
          <w:color w:val="292526"/>
          <w:sz w:val="22"/>
          <w:szCs w:val="22"/>
          <w:lang w:bidi="he-IL"/>
        </w:rPr>
        <w:t>thics Committee</w:t>
      </w:r>
      <w:r>
        <w:rPr>
          <w:rFonts w:asciiTheme="minorHAnsi" w:hAnsiTheme="minorHAnsi" w:cs="Arial"/>
          <w:bCs/>
          <w:color w:val="292526"/>
          <w:sz w:val="22"/>
          <w:szCs w:val="22"/>
          <w:lang w:bidi="he-IL"/>
        </w:rPr>
        <w:t xml:space="preserve"> and disciplinary action </w:t>
      </w:r>
      <w:proofErr w:type="gramStart"/>
      <w:r>
        <w:rPr>
          <w:rFonts w:asciiTheme="minorHAnsi" w:hAnsiTheme="minorHAnsi" w:cs="Arial"/>
          <w:bCs/>
          <w:color w:val="292526"/>
          <w:sz w:val="22"/>
          <w:szCs w:val="22"/>
          <w:lang w:bidi="he-IL"/>
        </w:rPr>
        <w:t>taken</w:t>
      </w:r>
      <w:proofErr w:type="gramEnd"/>
      <w:r>
        <w:rPr>
          <w:rFonts w:asciiTheme="minorHAnsi" w:hAnsiTheme="minorHAnsi" w:cs="Arial"/>
          <w:bCs/>
          <w:color w:val="292526"/>
          <w:sz w:val="22"/>
          <w:szCs w:val="22"/>
          <w:lang w:bidi="he-IL"/>
        </w:rPr>
        <w:t xml:space="preserve"> as necessary. A retrospective review must be completed and documented within 120 days on the University determining that there has been non-compliance with this policy.</w:t>
      </w:r>
    </w:p>
    <w:p w14:paraId="7F0F71AE" w14:textId="77777777" w:rsidR="001918E5" w:rsidRDefault="001918E5" w:rsidP="00D76992">
      <w:pPr>
        <w:jc w:val="both"/>
        <w:rPr>
          <w:rFonts w:asciiTheme="minorHAnsi" w:hAnsiTheme="minorHAnsi" w:cs="Arial"/>
          <w:bCs/>
          <w:color w:val="292526"/>
          <w:sz w:val="22"/>
          <w:szCs w:val="22"/>
          <w:lang w:bidi="he-IL"/>
        </w:rPr>
      </w:pPr>
    </w:p>
    <w:p w14:paraId="32121C47" w14:textId="2CF6C7A9" w:rsidR="001918E5" w:rsidRDefault="001918E5" w:rsidP="00D76992">
      <w:pPr>
        <w:jc w:val="both"/>
        <w:rPr>
          <w:rFonts w:asciiTheme="minorHAnsi" w:hAnsiTheme="minorHAnsi" w:cs="Arial"/>
          <w:bCs/>
          <w:color w:val="292526"/>
          <w:sz w:val="22"/>
          <w:szCs w:val="22"/>
          <w:lang w:bidi="he-IL"/>
        </w:rPr>
      </w:pPr>
      <w:r>
        <w:rPr>
          <w:rFonts w:asciiTheme="minorHAnsi" w:hAnsiTheme="minorHAnsi" w:cs="Arial"/>
          <w:bCs/>
          <w:color w:val="292526"/>
          <w:sz w:val="22"/>
          <w:szCs w:val="22"/>
          <w:lang w:bidi="he-IL"/>
        </w:rPr>
        <w:t>The University will report all instances of non-compliance with this policy including any issues related to a financial conflict of interest management plan to the NIH.</w:t>
      </w:r>
    </w:p>
    <w:p w14:paraId="29457340" w14:textId="68631AA4" w:rsidR="001530E5" w:rsidRDefault="001530E5" w:rsidP="00D76992">
      <w:pPr>
        <w:jc w:val="both"/>
        <w:rPr>
          <w:rFonts w:asciiTheme="minorHAnsi" w:hAnsiTheme="minorHAnsi" w:cs="Arial"/>
          <w:bCs/>
          <w:color w:val="292526"/>
          <w:sz w:val="22"/>
          <w:szCs w:val="22"/>
          <w:lang w:bidi="he-IL"/>
        </w:rPr>
      </w:pPr>
    </w:p>
    <w:p w14:paraId="3D01EEDA" w14:textId="03D0DC36" w:rsidR="001530E5" w:rsidRDefault="001530E5" w:rsidP="00D76992">
      <w:pPr>
        <w:jc w:val="both"/>
        <w:rPr>
          <w:rFonts w:asciiTheme="minorHAnsi" w:hAnsiTheme="minorHAnsi" w:cs="Arial"/>
          <w:bCs/>
          <w:color w:val="292526"/>
          <w:sz w:val="22"/>
          <w:szCs w:val="22"/>
          <w:lang w:bidi="he-IL"/>
        </w:rPr>
      </w:pPr>
      <w:r>
        <w:rPr>
          <w:rFonts w:asciiTheme="minorHAnsi" w:hAnsiTheme="minorHAnsi" w:cs="Arial"/>
          <w:bCs/>
          <w:color w:val="292526"/>
          <w:sz w:val="22"/>
          <w:szCs w:val="22"/>
          <w:lang w:bidi="he-IL"/>
        </w:rPr>
        <w:t>Where non-compliance is identified the University will ensure that the Investigator discloses their financial conflict of interest at each public presentation of the research findings and request an addendum to any previously published presentations.</w:t>
      </w:r>
    </w:p>
    <w:p w14:paraId="7E9CAA94" w14:textId="5B48DAFD" w:rsidR="001530E5" w:rsidRDefault="001530E5" w:rsidP="00D76992">
      <w:pPr>
        <w:jc w:val="both"/>
        <w:rPr>
          <w:rFonts w:asciiTheme="minorHAnsi" w:hAnsiTheme="minorHAnsi" w:cs="Arial"/>
          <w:bCs/>
          <w:color w:val="292526"/>
          <w:sz w:val="22"/>
          <w:szCs w:val="22"/>
          <w:lang w:bidi="he-IL"/>
        </w:rPr>
      </w:pPr>
    </w:p>
    <w:p w14:paraId="77891632" w14:textId="0526E778" w:rsidR="000E3A6A" w:rsidRPr="000E3A6A" w:rsidRDefault="000E3A6A" w:rsidP="00D76992">
      <w:pPr>
        <w:jc w:val="both"/>
        <w:rPr>
          <w:rFonts w:asciiTheme="minorHAnsi" w:hAnsiTheme="minorHAnsi" w:cs="Arial"/>
          <w:b/>
          <w:i/>
          <w:iCs/>
          <w:color w:val="292526"/>
          <w:sz w:val="22"/>
          <w:szCs w:val="22"/>
          <w:lang w:bidi="he-IL"/>
        </w:rPr>
      </w:pPr>
      <w:r>
        <w:rPr>
          <w:rFonts w:asciiTheme="minorHAnsi" w:hAnsiTheme="minorHAnsi" w:cs="Arial"/>
          <w:b/>
          <w:i/>
          <w:iCs/>
          <w:color w:val="292526"/>
          <w:sz w:val="22"/>
          <w:szCs w:val="22"/>
          <w:lang w:bidi="he-IL"/>
        </w:rPr>
        <w:t>Records Management</w:t>
      </w:r>
    </w:p>
    <w:p w14:paraId="1505F30E" w14:textId="0C2EB958" w:rsidR="001530E5" w:rsidRPr="001530E5" w:rsidRDefault="001918E5" w:rsidP="00D76992">
      <w:pPr>
        <w:jc w:val="both"/>
        <w:rPr>
          <w:rFonts w:asciiTheme="minorHAnsi" w:hAnsiTheme="minorHAnsi" w:cs="Arial"/>
          <w:bCs/>
          <w:color w:val="292526"/>
          <w:sz w:val="22"/>
          <w:szCs w:val="22"/>
          <w:lang w:bidi="he-IL"/>
        </w:rPr>
      </w:pPr>
      <w:r>
        <w:rPr>
          <w:rFonts w:asciiTheme="minorHAnsi" w:hAnsiTheme="minorHAnsi" w:cs="Arial"/>
          <w:bCs/>
          <w:color w:val="292526"/>
          <w:sz w:val="22"/>
          <w:szCs w:val="22"/>
          <w:lang w:bidi="he-IL"/>
        </w:rPr>
        <w:t xml:space="preserve">The University will maintain all financial conflict of interest records, including any management or resolution plans, for a period of at least 3 years from the date the final expenditure report is submitted to the NIH or from other dates as set out in the regulations, where applicable. </w:t>
      </w:r>
    </w:p>
    <w:p w14:paraId="30E527D4" w14:textId="77777777" w:rsidR="000E3A6A" w:rsidRDefault="000E3A6A" w:rsidP="008734AD">
      <w:pPr>
        <w:rPr>
          <w:rFonts w:asciiTheme="minorHAnsi" w:hAnsiTheme="minorHAnsi" w:cs="Arial"/>
          <w:b/>
          <w:color w:val="292526"/>
          <w:sz w:val="22"/>
          <w:szCs w:val="22"/>
          <w:lang w:bidi="he-IL"/>
        </w:rPr>
      </w:pPr>
    </w:p>
    <w:p w14:paraId="4F93B50F" w14:textId="6235AEF4" w:rsidR="003003E2" w:rsidRDefault="003003E2" w:rsidP="003003E2">
      <w:pPr>
        <w:spacing w:before="100" w:beforeAutospacing="1" w:after="100" w:afterAutospacing="1"/>
        <w:jc w:val="both"/>
        <w:rPr>
          <w:rFonts w:asciiTheme="minorHAnsi" w:eastAsia="Times New Roman" w:hAnsiTheme="minorHAnsi"/>
          <w:sz w:val="22"/>
          <w:szCs w:val="22"/>
          <w:lang w:eastAsia="en-GB"/>
        </w:rPr>
      </w:pPr>
    </w:p>
    <w:sectPr w:rsidR="003003E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807EE" w14:textId="77777777" w:rsidR="00C706F4" w:rsidRDefault="00C706F4" w:rsidP="000811CA">
      <w:r>
        <w:separator/>
      </w:r>
    </w:p>
  </w:endnote>
  <w:endnote w:type="continuationSeparator" w:id="0">
    <w:p w14:paraId="461F2A1F" w14:textId="77777777" w:rsidR="00C706F4" w:rsidRDefault="00C706F4" w:rsidP="0008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839643"/>
      <w:docPartObj>
        <w:docPartGallery w:val="Page Numbers (Bottom of Page)"/>
        <w:docPartUnique/>
      </w:docPartObj>
    </w:sdtPr>
    <w:sdtContent>
      <w:sdt>
        <w:sdtPr>
          <w:id w:val="1728636285"/>
          <w:docPartObj>
            <w:docPartGallery w:val="Page Numbers (Top of Page)"/>
            <w:docPartUnique/>
          </w:docPartObj>
        </w:sdtPr>
        <w:sdtContent>
          <w:p w14:paraId="0BD3CB65" w14:textId="2FAD74D9" w:rsidR="00E776F2" w:rsidRDefault="00E776F2">
            <w:pPr>
              <w:pStyle w:val="Footer"/>
              <w:jc w:val="center"/>
            </w:pPr>
            <w:r w:rsidRPr="00E776F2">
              <w:rPr>
                <w:rFonts w:asciiTheme="minorHAnsi" w:hAnsiTheme="minorHAnsi"/>
                <w:sz w:val="18"/>
                <w:szCs w:val="18"/>
              </w:rPr>
              <w:t xml:space="preserve">Page </w:t>
            </w:r>
            <w:r w:rsidRPr="00E776F2">
              <w:rPr>
                <w:rFonts w:asciiTheme="minorHAnsi" w:hAnsiTheme="minorHAnsi"/>
                <w:b/>
                <w:bCs/>
                <w:sz w:val="18"/>
                <w:szCs w:val="18"/>
              </w:rPr>
              <w:fldChar w:fldCharType="begin"/>
            </w:r>
            <w:r w:rsidRPr="00E776F2">
              <w:rPr>
                <w:rFonts w:asciiTheme="minorHAnsi" w:hAnsiTheme="minorHAnsi"/>
                <w:b/>
                <w:bCs/>
                <w:sz w:val="18"/>
                <w:szCs w:val="18"/>
              </w:rPr>
              <w:instrText xml:space="preserve"> PAGE </w:instrText>
            </w:r>
            <w:r w:rsidRPr="00E776F2">
              <w:rPr>
                <w:rFonts w:asciiTheme="minorHAnsi" w:hAnsiTheme="minorHAnsi"/>
                <w:b/>
                <w:bCs/>
                <w:sz w:val="18"/>
                <w:szCs w:val="18"/>
              </w:rPr>
              <w:fldChar w:fldCharType="separate"/>
            </w:r>
            <w:r w:rsidRPr="00E776F2">
              <w:rPr>
                <w:rFonts w:asciiTheme="minorHAnsi" w:hAnsiTheme="minorHAnsi"/>
                <w:b/>
                <w:bCs/>
                <w:noProof/>
                <w:sz w:val="18"/>
                <w:szCs w:val="18"/>
              </w:rPr>
              <w:t>2</w:t>
            </w:r>
            <w:r w:rsidRPr="00E776F2">
              <w:rPr>
                <w:rFonts w:asciiTheme="minorHAnsi" w:hAnsiTheme="minorHAnsi"/>
                <w:b/>
                <w:bCs/>
                <w:sz w:val="18"/>
                <w:szCs w:val="18"/>
              </w:rPr>
              <w:fldChar w:fldCharType="end"/>
            </w:r>
            <w:r w:rsidRPr="00E776F2">
              <w:rPr>
                <w:rFonts w:asciiTheme="minorHAnsi" w:hAnsiTheme="minorHAnsi"/>
                <w:sz w:val="18"/>
                <w:szCs w:val="18"/>
              </w:rPr>
              <w:t xml:space="preserve"> of </w:t>
            </w:r>
            <w:r w:rsidRPr="00E776F2">
              <w:rPr>
                <w:rFonts w:asciiTheme="minorHAnsi" w:hAnsiTheme="minorHAnsi"/>
                <w:b/>
                <w:bCs/>
                <w:sz w:val="18"/>
                <w:szCs w:val="18"/>
              </w:rPr>
              <w:fldChar w:fldCharType="begin"/>
            </w:r>
            <w:r w:rsidRPr="00E776F2">
              <w:rPr>
                <w:rFonts w:asciiTheme="minorHAnsi" w:hAnsiTheme="minorHAnsi"/>
                <w:b/>
                <w:bCs/>
                <w:sz w:val="18"/>
                <w:szCs w:val="18"/>
              </w:rPr>
              <w:instrText xml:space="preserve"> NUMPAGES  </w:instrText>
            </w:r>
            <w:r w:rsidRPr="00E776F2">
              <w:rPr>
                <w:rFonts w:asciiTheme="minorHAnsi" w:hAnsiTheme="minorHAnsi"/>
                <w:b/>
                <w:bCs/>
                <w:sz w:val="18"/>
                <w:szCs w:val="18"/>
              </w:rPr>
              <w:fldChar w:fldCharType="separate"/>
            </w:r>
            <w:r w:rsidRPr="00E776F2">
              <w:rPr>
                <w:rFonts w:asciiTheme="minorHAnsi" w:hAnsiTheme="minorHAnsi"/>
                <w:b/>
                <w:bCs/>
                <w:noProof/>
                <w:sz w:val="18"/>
                <w:szCs w:val="18"/>
              </w:rPr>
              <w:t>2</w:t>
            </w:r>
            <w:r w:rsidRPr="00E776F2">
              <w:rPr>
                <w:rFonts w:asciiTheme="minorHAnsi" w:hAnsiTheme="minorHAnsi"/>
                <w:b/>
                <w:bCs/>
                <w:sz w:val="18"/>
                <w:szCs w:val="18"/>
              </w:rPr>
              <w:fldChar w:fldCharType="end"/>
            </w:r>
          </w:p>
        </w:sdtContent>
      </w:sdt>
    </w:sdtContent>
  </w:sdt>
  <w:p w14:paraId="65B0515E" w14:textId="77777777" w:rsidR="00E776F2" w:rsidRDefault="00E77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3D1E5" w14:textId="77777777" w:rsidR="00C706F4" w:rsidRDefault="00C706F4" w:rsidP="000811CA">
      <w:r>
        <w:separator/>
      </w:r>
    </w:p>
  </w:footnote>
  <w:footnote w:type="continuationSeparator" w:id="0">
    <w:p w14:paraId="3A572474" w14:textId="77777777" w:rsidR="00C706F4" w:rsidRDefault="00C706F4" w:rsidP="000811CA">
      <w:r>
        <w:continuationSeparator/>
      </w:r>
    </w:p>
  </w:footnote>
  <w:footnote w:id="1">
    <w:p w14:paraId="0D6D77F9" w14:textId="77777777" w:rsidR="00196118" w:rsidRDefault="00196118" w:rsidP="00196118">
      <w:pPr>
        <w:rPr>
          <w:rFonts w:asciiTheme="minorHAnsi" w:hAnsiTheme="minorHAnsi" w:cstheme="minorHAnsi"/>
          <w:sz w:val="22"/>
          <w:szCs w:val="22"/>
        </w:rPr>
      </w:pPr>
      <w:r>
        <w:rPr>
          <w:rStyle w:val="FootnoteReference"/>
        </w:rPr>
        <w:footnoteRef/>
      </w:r>
      <w:r>
        <w:t xml:space="preserve"> </w:t>
      </w:r>
      <w:r>
        <w:rPr>
          <w:rFonts w:asciiTheme="minorHAnsi" w:hAnsiTheme="minorHAnsi" w:cstheme="minorHAnsi"/>
          <w:sz w:val="22"/>
          <w:szCs w:val="22"/>
        </w:rPr>
        <w:t xml:space="preserve">A </w:t>
      </w:r>
      <w:r w:rsidRPr="00196118">
        <w:rPr>
          <w:rFonts w:asciiTheme="minorHAnsi" w:hAnsiTheme="minorHAnsi" w:cstheme="minorHAnsi"/>
          <w:sz w:val="22"/>
          <w:szCs w:val="22"/>
        </w:rPr>
        <w:t>conflict management plan that sets out the agreed strategy for managing a disclosed conflict, including the review dates, responsibilities of discloser, reviewer and others, and identifies any options for amendment that may be required in the future</w:t>
      </w:r>
      <w:r>
        <w:rPr>
          <w:rFonts w:asciiTheme="minorHAnsi" w:hAnsiTheme="minorHAnsi" w:cstheme="minorHAnsi"/>
          <w:sz w:val="22"/>
          <w:szCs w:val="22"/>
        </w:rPr>
        <w:t xml:space="preserve">. </w:t>
      </w:r>
    </w:p>
    <w:p w14:paraId="7F3D268B" w14:textId="3BA04108" w:rsidR="00196118" w:rsidRDefault="001961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F84B" w14:textId="444CD2D2" w:rsidR="00E776F2" w:rsidRPr="00E776F2" w:rsidRDefault="00E776F2" w:rsidP="00E776F2">
    <w:pPr>
      <w:pStyle w:val="Header"/>
      <w:jc w:val="right"/>
      <w:rPr>
        <w:rFonts w:asciiTheme="minorHAnsi" w:hAnsiTheme="minorHAnsi"/>
        <w:sz w:val="18"/>
        <w:szCs w:val="18"/>
      </w:rPr>
    </w:pPr>
    <w:r>
      <w:rPr>
        <w:rFonts w:asciiTheme="minorHAnsi" w:hAnsiTheme="minorHAnsi"/>
        <w:sz w:val="18"/>
        <w:szCs w:val="18"/>
      </w:rPr>
      <w:t>Version 1, 26/03/2021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114"/>
    <w:multiLevelType w:val="multilevel"/>
    <w:tmpl w:val="C9D810A0"/>
    <w:lvl w:ilvl="0">
      <w:start w:val="1"/>
      <w:numFmt w:val="upperRoman"/>
      <w:lvlText w:val="(%1)"/>
      <w:lvlJc w:val="left"/>
      <w:pPr>
        <w:tabs>
          <w:tab w:val="num" w:pos="720"/>
        </w:tabs>
        <w:ind w:left="720" w:hanging="360"/>
      </w:pPr>
      <w:rPr>
        <w:rFonts w:ascii="Verdana" w:eastAsia="SimSun" w:hAnsi="Verdana"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23"/>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66840"/>
    <w:multiLevelType w:val="hybridMultilevel"/>
    <w:tmpl w:val="6ABC23DA"/>
    <w:lvl w:ilvl="0" w:tplc="08090013">
      <w:start w:val="1"/>
      <w:numFmt w:val="upperRoman"/>
      <w:lvlText w:val="%1."/>
      <w:lvlJc w:val="righ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0E5740DB"/>
    <w:multiLevelType w:val="multilevel"/>
    <w:tmpl w:val="C1F2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94229"/>
    <w:multiLevelType w:val="hybridMultilevel"/>
    <w:tmpl w:val="9384AF28"/>
    <w:lvl w:ilvl="0" w:tplc="22B4B58E">
      <w:start w:val="5"/>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A7721"/>
    <w:multiLevelType w:val="multilevel"/>
    <w:tmpl w:val="E22C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A0892"/>
    <w:multiLevelType w:val="hybridMultilevel"/>
    <w:tmpl w:val="2BA25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D2B0D"/>
    <w:multiLevelType w:val="hybridMultilevel"/>
    <w:tmpl w:val="2ED4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3013F"/>
    <w:multiLevelType w:val="multilevel"/>
    <w:tmpl w:val="D534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0302C5"/>
    <w:multiLevelType w:val="hybridMultilevel"/>
    <w:tmpl w:val="4B265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54D93"/>
    <w:multiLevelType w:val="hybridMultilevel"/>
    <w:tmpl w:val="C2CA5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5531E"/>
    <w:multiLevelType w:val="multilevel"/>
    <w:tmpl w:val="C4DA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50E12"/>
    <w:multiLevelType w:val="hybridMultilevel"/>
    <w:tmpl w:val="F62CAF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A8F0C78"/>
    <w:multiLevelType w:val="hybridMultilevel"/>
    <w:tmpl w:val="513039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657EA3"/>
    <w:multiLevelType w:val="hybridMultilevel"/>
    <w:tmpl w:val="1D465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1B13AC"/>
    <w:multiLevelType w:val="multilevel"/>
    <w:tmpl w:val="C086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upperRoman"/>
        <w:lvlText w:val="(%1)"/>
        <w:lvlJc w:val="left"/>
        <w:pPr>
          <w:tabs>
            <w:tab w:val="num" w:pos="720"/>
          </w:tabs>
          <w:ind w:left="720" w:hanging="360"/>
        </w:pPr>
        <w:rPr>
          <w:rFonts w:ascii="Verdana" w:eastAsia="SimSun" w:hAnsi="Verdana" w:cs="Times New Roman"/>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decimal"/>
        <w:lvlText w:val="%3."/>
        <w:lvlJc w:val="left"/>
        <w:pPr>
          <w:tabs>
            <w:tab w:val="num" w:pos="2160"/>
          </w:tabs>
          <w:ind w:left="2160" w:hanging="360"/>
        </w:pPr>
      </w:lvl>
    </w:lvlOverride>
    <w:lvlOverride w:ilvl="3">
      <w:lvl w:ilvl="3">
        <w:numFmt w:val="decimal"/>
        <w:lvlText w:val="%4."/>
        <w:lvlJc w:val="left"/>
      </w:lvl>
    </w:lvlOverride>
    <w:lvlOverride w:ilvl="4">
      <w:lvl w:ilvl="4">
        <w:start w:val="1"/>
        <w:numFmt w:val="lowerRoman"/>
        <w:lvlText w:val="%5)"/>
        <w:lvlJc w:val="left"/>
        <w:pPr>
          <w:ind w:left="3960" w:hanging="720"/>
        </w:pPr>
        <w:rPr>
          <w:rFonts w:hint="default"/>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5"/>
  </w:num>
  <w:num w:numId="3">
    <w:abstractNumId w:val="11"/>
  </w:num>
  <w:num w:numId="4">
    <w:abstractNumId w:val="13"/>
  </w:num>
  <w:num w:numId="5">
    <w:abstractNumId w:val="10"/>
  </w:num>
  <w:num w:numId="6">
    <w:abstractNumId w:val="3"/>
  </w:num>
  <w:num w:numId="7">
    <w:abstractNumId w:val="8"/>
  </w:num>
  <w:num w:numId="8">
    <w:abstractNumId w:val="9"/>
  </w:num>
  <w:num w:numId="9">
    <w:abstractNumId w:val="4"/>
  </w:num>
  <w:num w:numId="10">
    <w:abstractNumId w:val="2"/>
  </w:num>
  <w:num w:numId="11">
    <w:abstractNumId w:val="14"/>
  </w:num>
  <w:num w:numId="12">
    <w:abstractNumId w:val="7"/>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CA"/>
    <w:rsid w:val="00072198"/>
    <w:rsid w:val="000761C4"/>
    <w:rsid w:val="000811CA"/>
    <w:rsid w:val="000A45B7"/>
    <w:rsid w:val="000A6373"/>
    <w:rsid w:val="000C538F"/>
    <w:rsid w:val="000E3A6A"/>
    <w:rsid w:val="001166D8"/>
    <w:rsid w:val="0013480F"/>
    <w:rsid w:val="00140B56"/>
    <w:rsid w:val="001530E5"/>
    <w:rsid w:val="001918E5"/>
    <w:rsid w:val="00196118"/>
    <w:rsid w:val="001D7037"/>
    <w:rsid w:val="001E747D"/>
    <w:rsid w:val="001F79FB"/>
    <w:rsid w:val="00201355"/>
    <w:rsid w:val="00205D00"/>
    <w:rsid w:val="002E104A"/>
    <w:rsid w:val="003003E2"/>
    <w:rsid w:val="0031239B"/>
    <w:rsid w:val="00312703"/>
    <w:rsid w:val="0035768F"/>
    <w:rsid w:val="00382E53"/>
    <w:rsid w:val="003D7A0A"/>
    <w:rsid w:val="0040326C"/>
    <w:rsid w:val="00413ADA"/>
    <w:rsid w:val="004173A2"/>
    <w:rsid w:val="004269FD"/>
    <w:rsid w:val="0044398B"/>
    <w:rsid w:val="00445505"/>
    <w:rsid w:val="00453A2E"/>
    <w:rsid w:val="00462466"/>
    <w:rsid w:val="004831FC"/>
    <w:rsid w:val="004A0CC1"/>
    <w:rsid w:val="004D33A8"/>
    <w:rsid w:val="00505ADA"/>
    <w:rsid w:val="005275C9"/>
    <w:rsid w:val="00585934"/>
    <w:rsid w:val="00590EAE"/>
    <w:rsid w:val="00596CFF"/>
    <w:rsid w:val="005A573C"/>
    <w:rsid w:val="005C0A51"/>
    <w:rsid w:val="005D4597"/>
    <w:rsid w:val="005D7A4B"/>
    <w:rsid w:val="006017A0"/>
    <w:rsid w:val="00602CFA"/>
    <w:rsid w:val="00636FC4"/>
    <w:rsid w:val="0064010E"/>
    <w:rsid w:val="00644928"/>
    <w:rsid w:val="00657D81"/>
    <w:rsid w:val="006A1E2D"/>
    <w:rsid w:val="006B064E"/>
    <w:rsid w:val="006B2549"/>
    <w:rsid w:val="0074432E"/>
    <w:rsid w:val="007460C7"/>
    <w:rsid w:val="0075326A"/>
    <w:rsid w:val="00760E4C"/>
    <w:rsid w:val="00775D5E"/>
    <w:rsid w:val="007E1074"/>
    <w:rsid w:val="008240BD"/>
    <w:rsid w:val="008327E4"/>
    <w:rsid w:val="008734AD"/>
    <w:rsid w:val="008927BA"/>
    <w:rsid w:val="00895FE6"/>
    <w:rsid w:val="008C161F"/>
    <w:rsid w:val="008D323E"/>
    <w:rsid w:val="008E2E55"/>
    <w:rsid w:val="008F3203"/>
    <w:rsid w:val="008F37E6"/>
    <w:rsid w:val="00923F5B"/>
    <w:rsid w:val="00955FA0"/>
    <w:rsid w:val="00970AC0"/>
    <w:rsid w:val="00A24F18"/>
    <w:rsid w:val="00A36466"/>
    <w:rsid w:val="00A374A7"/>
    <w:rsid w:val="00A60420"/>
    <w:rsid w:val="00A702E1"/>
    <w:rsid w:val="00A8145A"/>
    <w:rsid w:val="00AA5651"/>
    <w:rsid w:val="00AC0E53"/>
    <w:rsid w:val="00AD2873"/>
    <w:rsid w:val="00AE22FF"/>
    <w:rsid w:val="00AF4B46"/>
    <w:rsid w:val="00AF7F84"/>
    <w:rsid w:val="00B150CE"/>
    <w:rsid w:val="00B21094"/>
    <w:rsid w:val="00B22ECF"/>
    <w:rsid w:val="00B346E8"/>
    <w:rsid w:val="00B53330"/>
    <w:rsid w:val="00B867A1"/>
    <w:rsid w:val="00BA1208"/>
    <w:rsid w:val="00BB0439"/>
    <w:rsid w:val="00BB6917"/>
    <w:rsid w:val="00BD5F22"/>
    <w:rsid w:val="00BF17B2"/>
    <w:rsid w:val="00C034E8"/>
    <w:rsid w:val="00C47C6B"/>
    <w:rsid w:val="00C56CC9"/>
    <w:rsid w:val="00C67AB8"/>
    <w:rsid w:val="00C706F4"/>
    <w:rsid w:val="00CA2000"/>
    <w:rsid w:val="00CA33CC"/>
    <w:rsid w:val="00CD3FB8"/>
    <w:rsid w:val="00D35318"/>
    <w:rsid w:val="00D7437E"/>
    <w:rsid w:val="00D76992"/>
    <w:rsid w:val="00E14459"/>
    <w:rsid w:val="00E465C7"/>
    <w:rsid w:val="00E50424"/>
    <w:rsid w:val="00E56BC2"/>
    <w:rsid w:val="00E60C63"/>
    <w:rsid w:val="00E63607"/>
    <w:rsid w:val="00E737A8"/>
    <w:rsid w:val="00E776F2"/>
    <w:rsid w:val="00E813B6"/>
    <w:rsid w:val="00ED60EA"/>
    <w:rsid w:val="00F064D6"/>
    <w:rsid w:val="00F337A1"/>
    <w:rsid w:val="00F37C92"/>
    <w:rsid w:val="00F42AE4"/>
    <w:rsid w:val="00F520F8"/>
    <w:rsid w:val="00F64DAB"/>
    <w:rsid w:val="00FC7F3A"/>
    <w:rsid w:val="00FD6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313AD"/>
  <w15:chartTrackingRefBased/>
  <w15:docId w15:val="{362D9900-49C0-4AA3-8910-D366D267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C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F4B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737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7C9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1CA"/>
    <w:pPr>
      <w:ind w:left="720"/>
      <w:contextualSpacing/>
    </w:pPr>
  </w:style>
  <w:style w:type="paragraph" w:styleId="FootnoteText">
    <w:name w:val="footnote text"/>
    <w:basedOn w:val="Normal"/>
    <w:link w:val="FootnoteTextChar"/>
    <w:uiPriority w:val="99"/>
    <w:semiHidden/>
    <w:unhideWhenUsed/>
    <w:rsid w:val="000811CA"/>
    <w:rPr>
      <w:sz w:val="20"/>
      <w:szCs w:val="20"/>
    </w:rPr>
  </w:style>
  <w:style w:type="character" w:customStyle="1" w:styleId="FootnoteTextChar">
    <w:name w:val="Footnote Text Char"/>
    <w:basedOn w:val="DefaultParagraphFont"/>
    <w:link w:val="FootnoteText"/>
    <w:uiPriority w:val="99"/>
    <w:semiHidden/>
    <w:rsid w:val="000811CA"/>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0811CA"/>
    <w:rPr>
      <w:vertAlign w:val="superscript"/>
    </w:rPr>
  </w:style>
  <w:style w:type="paragraph" w:customStyle="1" w:styleId="Default">
    <w:name w:val="Default"/>
    <w:rsid w:val="000811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811CA"/>
    <w:pPr>
      <w:tabs>
        <w:tab w:val="center" w:pos="4513"/>
        <w:tab w:val="right" w:pos="9026"/>
      </w:tabs>
    </w:pPr>
  </w:style>
  <w:style w:type="character" w:customStyle="1" w:styleId="HeaderChar">
    <w:name w:val="Header Char"/>
    <w:basedOn w:val="DefaultParagraphFont"/>
    <w:link w:val="Header"/>
    <w:uiPriority w:val="99"/>
    <w:rsid w:val="000811CA"/>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811CA"/>
    <w:pPr>
      <w:tabs>
        <w:tab w:val="center" w:pos="4513"/>
        <w:tab w:val="right" w:pos="9026"/>
      </w:tabs>
    </w:pPr>
  </w:style>
  <w:style w:type="character" w:customStyle="1" w:styleId="FooterChar">
    <w:name w:val="Footer Char"/>
    <w:basedOn w:val="DefaultParagraphFont"/>
    <w:link w:val="Footer"/>
    <w:uiPriority w:val="99"/>
    <w:rsid w:val="000811CA"/>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0811CA"/>
    <w:rPr>
      <w:color w:val="0563C1" w:themeColor="hyperlink"/>
      <w:u w:val="single"/>
    </w:rPr>
  </w:style>
  <w:style w:type="paragraph" w:styleId="NoSpacing">
    <w:name w:val="No Spacing"/>
    <w:link w:val="NoSpacingChar"/>
    <w:uiPriority w:val="1"/>
    <w:qFormat/>
    <w:rsid w:val="006B064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064E"/>
    <w:rPr>
      <w:rFonts w:eastAsiaTheme="minorEastAsia"/>
      <w:lang w:val="en-US"/>
    </w:rPr>
  </w:style>
  <w:style w:type="character" w:styleId="FollowedHyperlink">
    <w:name w:val="FollowedHyperlink"/>
    <w:basedOn w:val="DefaultParagraphFont"/>
    <w:uiPriority w:val="99"/>
    <w:semiHidden/>
    <w:unhideWhenUsed/>
    <w:rsid w:val="00A702E1"/>
    <w:rPr>
      <w:color w:val="954F72" w:themeColor="followedHyperlink"/>
      <w:u w:val="single"/>
    </w:rPr>
  </w:style>
  <w:style w:type="table" w:styleId="TableGrid">
    <w:name w:val="Table Grid"/>
    <w:basedOn w:val="TableNormal"/>
    <w:uiPriority w:val="39"/>
    <w:rsid w:val="000A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WANS">
    <w:name w:val="Section Heading - SWANS"/>
    <w:basedOn w:val="Heading1"/>
    <w:next w:val="Normal"/>
    <w:link w:val="SectionHeading-SWANSChar"/>
    <w:autoRedefine/>
    <w:qFormat/>
    <w:rsid w:val="00AF4B46"/>
    <w:pPr>
      <w:contextualSpacing/>
    </w:pPr>
    <w:rPr>
      <w:rFonts w:ascii="Arial" w:hAnsi="Arial"/>
      <w:b/>
      <w:bCs/>
      <w:color w:val="44546A" w:themeColor="text2"/>
      <w:spacing w:val="-10"/>
      <w:kern w:val="28"/>
      <w:sz w:val="26"/>
      <w:szCs w:val="28"/>
      <w:lang w:eastAsia="en-US"/>
    </w:rPr>
  </w:style>
  <w:style w:type="character" w:customStyle="1" w:styleId="SectionHeading-SWANSChar">
    <w:name w:val="Section Heading - SWANS Char"/>
    <w:basedOn w:val="DefaultParagraphFont"/>
    <w:link w:val="SectionHeading-SWANS"/>
    <w:rsid w:val="00AF4B46"/>
    <w:rPr>
      <w:rFonts w:ascii="Arial" w:eastAsiaTheme="majorEastAsia" w:hAnsi="Arial" w:cstheme="majorBidi"/>
      <w:b/>
      <w:bCs/>
      <w:color w:val="44546A" w:themeColor="text2"/>
      <w:spacing w:val="-10"/>
      <w:kern w:val="28"/>
      <w:sz w:val="26"/>
      <w:szCs w:val="28"/>
    </w:rPr>
  </w:style>
  <w:style w:type="paragraph" w:customStyle="1" w:styleId="Subheading">
    <w:name w:val="Subheading"/>
    <w:basedOn w:val="Normal"/>
    <w:link w:val="SubheadingChar"/>
    <w:autoRedefine/>
    <w:qFormat/>
    <w:rsid w:val="00AF4B46"/>
    <w:rPr>
      <w:rFonts w:ascii="Arial" w:eastAsiaTheme="minorHAnsi" w:hAnsi="Arial" w:cs="Arial"/>
      <w:b/>
      <w:bCs/>
      <w:color w:val="44546A" w:themeColor="text2"/>
      <w:sz w:val="22"/>
      <w:szCs w:val="20"/>
      <w:u w:color="CAD400"/>
      <w:lang w:eastAsia="en-US"/>
    </w:rPr>
  </w:style>
  <w:style w:type="character" w:customStyle="1" w:styleId="SubheadingChar">
    <w:name w:val="Subheading Char"/>
    <w:basedOn w:val="DefaultParagraphFont"/>
    <w:link w:val="Subheading"/>
    <w:rsid w:val="00AF4B46"/>
    <w:rPr>
      <w:rFonts w:ascii="Arial" w:hAnsi="Arial" w:cs="Arial"/>
      <w:b/>
      <w:bCs/>
      <w:color w:val="44546A" w:themeColor="text2"/>
      <w:szCs w:val="20"/>
      <w:u w:color="CAD400"/>
    </w:rPr>
  </w:style>
  <w:style w:type="character" w:customStyle="1" w:styleId="Heading1Char">
    <w:name w:val="Heading 1 Char"/>
    <w:basedOn w:val="DefaultParagraphFont"/>
    <w:link w:val="Heading1"/>
    <w:uiPriority w:val="9"/>
    <w:rsid w:val="00AF4B46"/>
    <w:rPr>
      <w:rFonts w:asciiTheme="majorHAnsi" w:eastAsiaTheme="majorEastAsia" w:hAnsiTheme="majorHAnsi" w:cstheme="majorBidi"/>
      <w:color w:val="2E74B5" w:themeColor="accent1" w:themeShade="BF"/>
      <w:sz w:val="32"/>
      <w:szCs w:val="32"/>
      <w:lang w:eastAsia="zh-CN"/>
    </w:rPr>
  </w:style>
  <w:style w:type="character" w:customStyle="1" w:styleId="Heading3Char">
    <w:name w:val="Heading 3 Char"/>
    <w:basedOn w:val="DefaultParagraphFont"/>
    <w:link w:val="Heading3"/>
    <w:uiPriority w:val="9"/>
    <w:semiHidden/>
    <w:rsid w:val="00F37C92"/>
    <w:rPr>
      <w:rFonts w:asciiTheme="majorHAnsi" w:eastAsiaTheme="majorEastAsia" w:hAnsiTheme="majorHAnsi" w:cstheme="majorBidi"/>
      <w:color w:val="1F4D78" w:themeColor="accent1" w:themeShade="7F"/>
      <w:sz w:val="24"/>
      <w:szCs w:val="24"/>
      <w:lang w:eastAsia="zh-CN"/>
    </w:rPr>
  </w:style>
  <w:style w:type="character" w:customStyle="1" w:styleId="Heading2Char">
    <w:name w:val="Heading 2 Char"/>
    <w:basedOn w:val="DefaultParagraphFont"/>
    <w:link w:val="Heading2"/>
    <w:uiPriority w:val="9"/>
    <w:semiHidden/>
    <w:rsid w:val="00E737A8"/>
    <w:rPr>
      <w:rFonts w:asciiTheme="majorHAnsi" w:eastAsiaTheme="majorEastAsia" w:hAnsiTheme="majorHAnsi" w:cstheme="majorBidi"/>
      <w:color w:val="2E74B5" w:themeColor="accent1" w:themeShade="BF"/>
      <w:sz w:val="26"/>
      <w:szCs w:val="26"/>
      <w:lang w:eastAsia="zh-CN"/>
    </w:rPr>
  </w:style>
  <w:style w:type="character" w:styleId="CommentReference">
    <w:name w:val="annotation reference"/>
    <w:basedOn w:val="DefaultParagraphFont"/>
    <w:uiPriority w:val="99"/>
    <w:semiHidden/>
    <w:unhideWhenUsed/>
    <w:rsid w:val="008D323E"/>
    <w:rPr>
      <w:sz w:val="16"/>
      <w:szCs w:val="16"/>
    </w:rPr>
  </w:style>
  <w:style w:type="paragraph" w:styleId="CommentText">
    <w:name w:val="annotation text"/>
    <w:basedOn w:val="Normal"/>
    <w:link w:val="CommentTextChar"/>
    <w:uiPriority w:val="99"/>
    <w:semiHidden/>
    <w:unhideWhenUsed/>
    <w:rsid w:val="008D323E"/>
    <w:rPr>
      <w:sz w:val="20"/>
      <w:szCs w:val="20"/>
    </w:rPr>
  </w:style>
  <w:style w:type="character" w:customStyle="1" w:styleId="CommentTextChar">
    <w:name w:val="Comment Text Char"/>
    <w:basedOn w:val="DefaultParagraphFont"/>
    <w:link w:val="CommentText"/>
    <w:uiPriority w:val="99"/>
    <w:semiHidden/>
    <w:rsid w:val="008D323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D323E"/>
    <w:rPr>
      <w:b/>
      <w:bCs/>
    </w:rPr>
  </w:style>
  <w:style w:type="character" w:customStyle="1" w:styleId="CommentSubjectChar">
    <w:name w:val="Comment Subject Char"/>
    <w:basedOn w:val="CommentTextChar"/>
    <w:link w:val="CommentSubject"/>
    <w:uiPriority w:val="99"/>
    <w:semiHidden/>
    <w:rsid w:val="008D323E"/>
    <w:rPr>
      <w:rFonts w:ascii="Times New Roman" w:eastAsia="SimSun" w:hAnsi="Times New Roman" w:cs="Times New Roman"/>
      <w:b/>
      <w:bCs/>
      <w:sz w:val="20"/>
      <w:szCs w:val="20"/>
      <w:lang w:eastAsia="zh-CN"/>
    </w:rPr>
  </w:style>
  <w:style w:type="paragraph" w:styleId="NormalWeb">
    <w:name w:val="Normal (Web)"/>
    <w:basedOn w:val="Normal"/>
    <w:uiPriority w:val="99"/>
    <w:semiHidden/>
    <w:unhideWhenUsed/>
    <w:rsid w:val="00B53330"/>
    <w:pPr>
      <w:spacing w:before="100" w:beforeAutospacing="1" w:after="100" w:afterAutospacing="1"/>
    </w:pPr>
    <w:rPr>
      <w:rFonts w:eastAsia="Times New Roman"/>
      <w:lang w:eastAsia="en-GB"/>
    </w:rPr>
  </w:style>
  <w:style w:type="character" w:styleId="Strong">
    <w:name w:val="Strong"/>
    <w:basedOn w:val="DefaultParagraphFont"/>
    <w:uiPriority w:val="22"/>
    <w:qFormat/>
    <w:rsid w:val="00B53330"/>
    <w:rPr>
      <w:b/>
      <w:bCs/>
    </w:rPr>
  </w:style>
  <w:style w:type="character" w:styleId="UnresolvedMention">
    <w:name w:val="Unresolved Mention"/>
    <w:basedOn w:val="DefaultParagraphFont"/>
    <w:uiPriority w:val="99"/>
    <w:semiHidden/>
    <w:unhideWhenUsed/>
    <w:rsid w:val="00116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37697">
      <w:bodyDiv w:val="1"/>
      <w:marLeft w:val="0"/>
      <w:marRight w:val="0"/>
      <w:marTop w:val="0"/>
      <w:marBottom w:val="0"/>
      <w:divBdr>
        <w:top w:val="none" w:sz="0" w:space="0" w:color="auto"/>
        <w:left w:val="none" w:sz="0" w:space="0" w:color="auto"/>
        <w:bottom w:val="none" w:sz="0" w:space="0" w:color="auto"/>
        <w:right w:val="none" w:sz="0" w:space="0" w:color="auto"/>
      </w:divBdr>
    </w:div>
    <w:div w:id="144590728">
      <w:bodyDiv w:val="1"/>
      <w:marLeft w:val="0"/>
      <w:marRight w:val="0"/>
      <w:marTop w:val="0"/>
      <w:marBottom w:val="0"/>
      <w:divBdr>
        <w:top w:val="none" w:sz="0" w:space="0" w:color="auto"/>
        <w:left w:val="none" w:sz="0" w:space="0" w:color="auto"/>
        <w:bottom w:val="none" w:sz="0" w:space="0" w:color="auto"/>
        <w:right w:val="none" w:sz="0" w:space="0" w:color="auto"/>
      </w:divBdr>
    </w:div>
    <w:div w:id="181748603">
      <w:bodyDiv w:val="1"/>
      <w:marLeft w:val="0"/>
      <w:marRight w:val="0"/>
      <w:marTop w:val="0"/>
      <w:marBottom w:val="0"/>
      <w:divBdr>
        <w:top w:val="none" w:sz="0" w:space="0" w:color="auto"/>
        <w:left w:val="none" w:sz="0" w:space="0" w:color="auto"/>
        <w:bottom w:val="none" w:sz="0" w:space="0" w:color="auto"/>
        <w:right w:val="none" w:sz="0" w:space="0" w:color="auto"/>
      </w:divBdr>
    </w:div>
    <w:div w:id="316106213">
      <w:bodyDiv w:val="1"/>
      <w:marLeft w:val="0"/>
      <w:marRight w:val="0"/>
      <w:marTop w:val="0"/>
      <w:marBottom w:val="0"/>
      <w:divBdr>
        <w:top w:val="none" w:sz="0" w:space="0" w:color="auto"/>
        <w:left w:val="none" w:sz="0" w:space="0" w:color="auto"/>
        <w:bottom w:val="none" w:sz="0" w:space="0" w:color="auto"/>
        <w:right w:val="none" w:sz="0" w:space="0" w:color="auto"/>
      </w:divBdr>
    </w:div>
    <w:div w:id="379088864">
      <w:bodyDiv w:val="1"/>
      <w:marLeft w:val="0"/>
      <w:marRight w:val="0"/>
      <w:marTop w:val="0"/>
      <w:marBottom w:val="0"/>
      <w:divBdr>
        <w:top w:val="none" w:sz="0" w:space="0" w:color="auto"/>
        <w:left w:val="none" w:sz="0" w:space="0" w:color="auto"/>
        <w:bottom w:val="none" w:sz="0" w:space="0" w:color="auto"/>
        <w:right w:val="none" w:sz="0" w:space="0" w:color="auto"/>
      </w:divBdr>
    </w:div>
    <w:div w:id="493037726">
      <w:bodyDiv w:val="1"/>
      <w:marLeft w:val="0"/>
      <w:marRight w:val="0"/>
      <w:marTop w:val="0"/>
      <w:marBottom w:val="0"/>
      <w:divBdr>
        <w:top w:val="none" w:sz="0" w:space="0" w:color="auto"/>
        <w:left w:val="none" w:sz="0" w:space="0" w:color="auto"/>
        <w:bottom w:val="none" w:sz="0" w:space="0" w:color="auto"/>
        <w:right w:val="none" w:sz="0" w:space="0" w:color="auto"/>
      </w:divBdr>
    </w:div>
    <w:div w:id="551236759">
      <w:bodyDiv w:val="1"/>
      <w:marLeft w:val="0"/>
      <w:marRight w:val="0"/>
      <w:marTop w:val="0"/>
      <w:marBottom w:val="0"/>
      <w:divBdr>
        <w:top w:val="none" w:sz="0" w:space="0" w:color="auto"/>
        <w:left w:val="none" w:sz="0" w:space="0" w:color="auto"/>
        <w:bottom w:val="none" w:sz="0" w:space="0" w:color="auto"/>
        <w:right w:val="none" w:sz="0" w:space="0" w:color="auto"/>
      </w:divBdr>
    </w:div>
    <w:div w:id="595797066">
      <w:bodyDiv w:val="1"/>
      <w:marLeft w:val="0"/>
      <w:marRight w:val="0"/>
      <w:marTop w:val="0"/>
      <w:marBottom w:val="0"/>
      <w:divBdr>
        <w:top w:val="none" w:sz="0" w:space="0" w:color="auto"/>
        <w:left w:val="none" w:sz="0" w:space="0" w:color="auto"/>
        <w:bottom w:val="none" w:sz="0" w:space="0" w:color="auto"/>
        <w:right w:val="none" w:sz="0" w:space="0" w:color="auto"/>
      </w:divBdr>
    </w:div>
    <w:div w:id="612639166">
      <w:bodyDiv w:val="1"/>
      <w:marLeft w:val="0"/>
      <w:marRight w:val="0"/>
      <w:marTop w:val="0"/>
      <w:marBottom w:val="0"/>
      <w:divBdr>
        <w:top w:val="none" w:sz="0" w:space="0" w:color="auto"/>
        <w:left w:val="none" w:sz="0" w:space="0" w:color="auto"/>
        <w:bottom w:val="none" w:sz="0" w:space="0" w:color="auto"/>
        <w:right w:val="none" w:sz="0" w:space="0" w:color="auto"/>
      </w:divBdr>
    </w:div>
    <w:div w:id="814840403">
      <w:bodyDiv w:val="1"/>
      <w:marLeft w:val="0"/>
      <w:marRight w:val="0"/>
      <w:marTop w:val="0"/>
      <w:marBottom w:val="0"/>
      <w:divBdr>
        <w:top w:val="none" w:sz="0" w:space="0" w:color="auto"/>
        <w:left w:val="none" w:sz="0" w:space="0" w:color="auto"/>
        <w:bottom w:val="none" w:sz="0" w:space="0" w:color="auto"/>
        <w:right w:val="none" w:sz="0" w:space="0" w:color="auto"/>
      </w:divBdr>
    </w:div>
    <w:div w:id="871113340">
      <w:bodyDiv w:val="1"/>
      <w:marLeft w:val="0"/>
      <w:marRight w:val="0"/>
      <w:marTop w:val="0"/>
      <w:marBottom w:val="0"/>
      <w:divBdr>
        <w:top w:val="none" w:sz="0" w:space="0" w:color="auto"/>
        <w:left w:val="none" w:sz="0" w:space="0" w:color="auto"/>
        <w:bottom w:val="none" w:sz="0" w:space="0" w:color="auto"/>
        <w:right w:val="none" w:sz="0" w:space="0" w:color="auto"/>
      </w:divBdr>
    </w:div>
    <w:div w:id="945305465">
      <w:bodyDiv w:val="1"/>
      <w:marLeft w:val="0"/>
      <w:marRight w:val="0"/>
      <w:marTop w:val="0"/>
      <w:marBottom w:val="0"/>
      <w:divBdr>
        <w:top w:val="none" w:sz="0" w:space="0" w:color="auto"/>
        <w:left w:val="none" w:sz="0" w:space="0" w:color="auto"/>
        <w:bottom w:val="none" w:sz="0" w:space="0" w:color="auto"/>
        <w:right w:val="none" w:sz="0" w:space="0" w:color="auto"/>
      </w:divBdr>
    </w:div>
    <w:div w:id="966661864">
      <w:bodyDiv w:val="1"/>
      <w:marLeft w:val="0"/>
      <w:marRight w:val="0"/>
      <w:marTop w:val="0"/>
      <w:marBottom w:val="0"/>
      <w:divBdr>
        <w:top w:val="none" w:sz="0" w:space="0" w:color="auto"/>
        <w:left w:val="none" w:sz="0" w:space="0" w:color="auto"/>
        <w:bottom w:val="none" w:sz="0" w:space="0" w:color="auto"/>
        <w:right w:val="none" w:sz="0" w:space="0" w:color="auto"/>
      </w:divBdr>
    </w:div>
    <w:div w:id="1178812178">
      <w:bodyDiv w:val="1"/>
      <w:marLeft w:val="0"/>
      <w:marRight w:val="0"/>
      <w:marTop w:val="0"/>
      <w:marBottom w:val="0"/>
      <w:divBdr>
        <w:top w:val="none" w:sz="0" w:space="0" w:color="auto"/>
        <w:left w:val="none" w:sz="0" w:space="0" w:color="auto"/>
        <w:bottom w:val="none" w:sz="0" w:space="0" w:color="auto"/>
        <w:right w:val="none" w:sz="0" w:space="0" w:color="auto"/>
      </w:divBdr>
    </w:div>
    <w:div w:id="1402866792">
      <w:bodyDiv w:val="1"/>
      <w:marLeft w:val="0"/>
      <w:marRight w:val="0"/>
      <w:marTop w:val="0"/>
      <w:marBottom w:val="0"/>
      <w:divBdr>
        <w:top w:val="none" w:sz="0" w:space="0" w:color="auto"/>
        <w:left w:val="none" w:sz="0" w:space="0" w:color="auto"/>
        <w:bottom w:val="none" w:sz="0" w:space="0" w:color="auto"/>
        <w:right w:val="none" w:sz="0" w:space="0" w:color="auto"/>
      </w:divBdr>
    </w:div>
    <w:div w:id="1416587451">
      <w:bodyDiv w:val="1"/>
      <w:marLeft w:val="0"/>
      <w:marRight w:val="0"/>
      <w:marTop w:val="0"/>
      <w:marBottom w:val="0"/>
      <w:divBdr>
        <w:top w:val="none" w:sz="0" w:space="0" w:color="auto"/>
        <w:left w:val="none" w:sz="0" w:space="0" w:color="auto"/>
        <w:bottom w:val="none" w:sz="0" w:space="0" w:color="auto"/>
        <w:right w:val="none" w:sz="0" w:space="0" w:color="auto"/>
      </w:divBdr>
    </w:div>
    <w:div w:id="1810827487">
      <w:bodyDiv w:val="1"/>
      <w:marLeft w:val="0"/>
      <w:marRight w:val="0"/>
      <w:marTop w:val="0"/>
      <w:marBottom w:val="0"/>
      <w:divBdr>
        <w:top w:val="none" w:sz="0" w:space="0" w:color="auto"/>
        <w:left w:val="none" w:sz="0" w:space="0" w:color="auto"/>
        <w:bottom w:val="none" w:sz="0" w:space="0" w:color="auto"/>
        <w:right w:val="none" w:sz="0" w:space="0" w:color="auto"/>
      </w:divBdr>
    </w:div>
    <w:div w:id="1959793605">
      <w:bodyDiv w:val="1"/>
      <w:marLeft w:val="0"/>
      <w:marRight w:val="0"/>
      <w:marTop w:val="0"/>
      <w:marBottom w:val="0"/>
      <w:divBdr>
        <w:top w:val="none" w:sz="0" w:space="0" w:color="auto"/>
        <w:left w:val="none" w:sz="0" w:space="0" w:color="auto"/>
        <w:bottom w:val="none" w:sz="0" w:space="0" w:color="auto"/>
        <w:right w:val="none" w:sz="0" w:space="0" w:color="auto"/>
      </w:divBdr>
    </w:div>
    <w:div w:id="2068843948">
      <w:bodyDiv w:val="1"/>
      <w:marLeft w:val="0"/>
      <w:marRight w:val="0"/>
      <w:marTop w:val="0"/>
      <w:marBottom w:val="0"/>
      <w:divBdr>
        <w:top w:val="none" w:sz="0" w:space="0" w:color="auto"/>
        <w:left w:val="none" w:sz="0" w:space="0" w:color="auto"/>
        <w:bottom w:val="none" w:sz="0" w:space="0" w:color="auto"/>
        <w:right w:val="none" w:sz="0" w:space="0" w:color="auto"/>
      </w:divBdr>
    </w:div>
    <w:div w:id="20927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nts.nih.gov/faq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rants.nih.gov/faq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April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2D2703-8AF5-4CD6-A056-4364F26B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2611</Words>
  <Characters>14883</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DISCLOSURE OF INTERESTs</vt:lpstr>
    </vt:vector>
  </TitlesOfParts>
  <Company>Cardiff University</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INTERESTs</dc:title>
  <dc:subject/>
  <dc:creator>Catrin Morgan</dc:creator>
  <cp:keywords/>
  <dc:description/>
  <cp:lastModifiedBy>Chris Shaw</cp:lastModifiedBy>
  <cp:revision>2</cp:revision>
  <dcterms:created xsi:type="dcterms:W3CDTF">2021-03-29T14:00:00Z</dcterms:created>
  <dcterms:modified xsi:type="dcterms:W3CDTF">2021-03-29T14:00:00Z</dcterms:modified>
</cp:coreProperties>
</file>