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9B8C" w14:textId="77777777" w:rsidR="000D23EB" w:rsidRPr="00431B48" w:rsidRDefault="000122D8">
      <w:pPr>
        <w:pStyle w:val="Heading1"/>
        <w:spacing w:before="99" w:line="364" w:lineRule="auto"/>
        <w:ind w:right="2419"/>
      </w:pPr>
      <w:r w:rsidRPr="00431B48">
        <w:t>Safeguarding Children and Adults at Risk: Guidance Note 1 Full Definitions and Relevant Legislation</w:t>
      </w:r>
    </w:p>
    <w:p w14:paraId="417E256C" w14:textId="77777777" w:rsidR="000D23EB" w:rsidRPr="00431B48" w:rsidRDefault="000D23EB">
      <w:pPr>
        <w:pStyle w:val="BodyText"/>
        <w:rPr>
          <w:b/>
          <w:sz w:val="20"/>
        </w:rPr>
      </w:pPr>
    </w:p>
    <w:p w14:paraId="1F6E78BA" w14:textId="77777777" w:rsidR="000D23EB" w:rsidRPr="00431B48" w:rsidRDefault="000D23EB">
      <w:pPr>
        <w:pStyle w:val="BodyText"/>
        <w:rPr>
          <w:b/>
          <w:sz w:val="20"/>
        </w:rPr>
      </w:pPr>
      <w:bookmarkStart w:id="0" w:name="_GoBack"/>
      <w:bookmarkEnd w:id="0"/>
    </w:p>
    <w:p w14:paraId="6C1A3EE6" w14:textId="77777777" w:rsidR="000D23EB" w:rsidRPr="00431B48" w:rsidRDefault="000D23EB">
      <w:pPr>
        <w:pStyle w:val="BodyText"/>
        <w:rPr>
          <w:b/>
          <w:sz w:val="20"/>
        </w:rPr>
      </w:pPr>
    </w:p>
    <w:p w14:paraId="45EBFAC3" w14:textId="77777777" w:rsidR="000D23EB" w:rsidRPr="00431B48" w:rsidRDefault="000D23EB">
      <w:pPr>
        <w:pStyle w:val="BodyText"/>
        <w:rPr>
          <w:b/>
          <w:sz w:val="20"/>
        </w:rPr>
      </w:pPr>
    </w:p>
    <w:p w14:paraId="08FFD266" w14:textId="77777777" w:rsidR="000D23EB" w:rsidRPr="00431B48" w:rsidRDefault="000D23EB">
      <w:pPr>
        <w:pStyle w:val="BodyText"/>
        <w:spacing w:before="1"/>
        <w:rPr>
          <w:b/>
          <w:sz w:val="25"/>
        </w:rPr>
      </w:pPr>
    </w:p>
    <w:p w14:paraId="59375870" w14:textId="77777777" w:rsidR="000D23EB" w:rsidRPr="00431B48" w:rsidRDefault="000D23EB">
      <w:pPr>
        <w:rPr>
          <w:sz w:val="25"/>
        </w:rPr>
        <w:sectPr w:rsidR="000D23EB" w:rsidRPr="00431B48">
          <w:headerReference w:type="default" r:id="rId7"/>
          <w:footerReference w:type="default" r:id="rId8"/>
          <w:type w:val="continuous"/>
          <w:pgSz w:w="11900" w:h="16840"/>
          <w:pgMar w:top="1180" w:right="1100" w:bottom="1400" w:left="1100" w:header="960" w:footer="1210" w:gutter="0"/>
          <w:cols w:space="720"/>
        </w:sectPr>
      </w:pPr>
    </w:p>
    <w:p w14:paraId="3B48A22B" w14:textId="77777777" w:rsidR="000D23EB" w:rsidRPr="00431B48" w:rsidRDefault="000122D8">
      <w:pPr>
        <w:spacing w:before="132"/>
        <w:ind w:left="100"/>
        <w:rPr>
          <w:b/>
          <w:sz w:val="24"/>
        </w:rPr>
      </w:pPr>
      <w:r w:rsidRPr="00431B48">
        <w:rPr>
          <w:b/>
          <w:sz w:val="24"/>
        </w:rPr>
        <w:t>Children</w:t>
      </w:r>
    </w:p>
    <w:p w14:paraId="6C823185" w14:textId="77777777" w:rsidR="000D23EB" w:rsidRPr="00431B48" w:rsidRDefault="000D23EB">
      <w:pPr>
        <w:pStyle w:val="BodyText"/>
        <w:rPr>
          <w:b/>
          <w:sz w:val="28"/>
        </w:rPr>
      </w:pPr>
    </w:p>
    <w:p w14:paraId="59B2BCB7" w14:textId="77777777" w:rsidR="000D23EB" w:rsidRPr="00431B48" w:rsidRDefault="000D23EB">
      <w:pPr>
        <w:pStyle w:val="BodyText"/>
        <w:rPr>
          <w:b/>
          <w:sz w:val="28"/>
        </w:rPr>
      </w:pPr>
    </w:p>
    <w:p w14:paraId="38FEACFF" w14:textId="77777777" w:rsidR="000D23EB" w:rsidRPr="00431B48" w:rsidRDefault="000D23EB">
      <w:pPr>
        <w:pStyle w:val="BodyText"/>
        <w:rPr>
          <w:b/>
          <w:sz w:val="28"/>
        </w:rPr>
      </w:pPr>
    </w:p>
    <w:p w14:paraId="1D3F776C" w14:textId="77777777" w:rsidR="000D23EB" w:rsidRPr="00431B48" w:rsidRDefault="000D23EB">
      <w:pPr>
        <w:pStyle w:val="BodyText"/>
        <w:rPr>
          <w:b/>
          <w:sz w:val="28"/>
        </w:rPr>
      </w:pPr>
    </w:p>
    <w:p w14:paraId="26D53A56" w14:textId="77777777" w:rsidR="000D23EB" w:rsidRPr="00431B48" w:rsidRDefault="000D23EB">
      <w:pPr>
        <w:pStyle w:val="BodyText"/>
        <w:rPr>
          <w:b/>
          <w:sz w:val="28"/>
        </w:rPr>
      </w:pPr>
    </w:p>
    <w:p w14:paraId="5D2BAF63" w14:textId="77777777" w:rsidR="000D23EB" w:rsidRPr="00431B48" w:rsidRDefault="000D23EB">
      <w:pPr>
        <w:pStyle w:val="BodyText"/>
        <w:rPr>
          <w:b/>
          <w:sz w:val="28"/>
        </w:rPr>
      </w:pPr>
    </w:p>
    <w:p w14:paraId="6FF44101" w14:textId="77777777" w:rsidR="000D23EB" w:rsidRPr="00431B48" w:rsidRDefault="000D23EB">
      <w:pPr>
        <w:pStyle w:val="BodyText"/>
        <w:rPr>
          <w:b/>
          <w:sz w:val="28"/>
        </w:rPr>
      </w:pPr>
    </w:p>
    <w:p w14:paraId="086EAD9E" w14:textId="77777777" w:rsidR="000D23EB" w:rsidRPr="00431B48" w:rsidRDefault="000D23EB">
      <w:pPr>
        <w:pStyle w:val="BodyText"/>
        <w:rPr>
          <w:b/>
          <w:sz w:val="28"/>
        </w:rPr>
      </w:pPr>
    </w:p>
    <w:p w14:paraId="19072965" w14:textId="77777777" w:rsidR="000D23EB" w:rsidRPr="00431B48" w:rsidRDefault="000D23EB">
      <w:pPr>
        <w:pStyle w:val="BodyText"/>
        <w:rPr>
          <w:b/>
          <w:sz w:val="28"/>
        </w:rPr>
      </w:pPr>
    </w:p>
    <w:p w14:paraId="42CBB480" w14:textId="77777777" w:rsidR="000D23EB" w:rsidRPr="00431B48" w:rsidRDefault="000D23EB">
      <w:pPr>
        <w:pStyle w:val="BodyText"/>
        <w:rPr>
          <w:b/>
          <w:sz w:val="28"/>
        </w:rPr>
      </w:pPr>
    </w:p>
    <w:p w14:paraId="1BD85DCE" w14:textId="77777777" w:rsidR="000D23EB" w:rsidRPr="00431B48" w:rsidRDefault="000D23EB">
      <w:pPr>
        <w:pStyle w:val="BodyText"/>
        <w:rPr>
          <w:b/>
          <w:sz w:val="28"/>
        </w:rPr>
      </w:pPr>
    </w:p>
    <w:p w14:paraId="5693705E" w14:textId="77777777" w:rsidR="000D23EB" w:rsidRPr="00431B48" w:rsidRDefault="000D23EB">
      <w:pPr>
        <w:pStyle w:val="BodyText"/>
        <w:rPr>
          <w:b/>
          <w:sz w:val="28"/>
        </w:rPr>
      </w:pPr>
    </w:p>
    <w:p w14:paraId="714A9964" w14:textId="77777777" w:rsidR="000D23EB" w:rsidRPr="00431B48" w:rsidRDefault="000D23EB">
      <w:pPr>
        <w:pStyle w:val="BodyText"/>
        <w:rPr>
          <w:b/>
          <w:sz w:val="28"/>
        </w:rPr>
      </w:pPr>
    </w:p>
    <w:p w14:paraId="55EB89F6" w14:textId="77777777" w:rsidR="000D23EB" w:rsidRPr="00431B48" w:rsidRDefault="000D23EB">
      <w:pPr>
        <w:pStyle w:val="BodyText"/>
        <w:rPr>
          <w:b/>
          <w:sz w:val="28"/>
        </w:rPr>
      </w:pPr>
    </w:p>
    <w:p w14:paraId="48188D4A" w14:textId="77777777" w:rsidR="000D23EB" w:rsidRPr="00431B48" w:rsidRDefault="000D23EB">
      <w:pPr>
        <w:pStyle w:val="BodyText"/>
        <w:rPr>
          <w:b/>
          <w:sz w:val="28"/>
        </w:rPr>
      </w:pPr>
    </w:p>
    <w:p w14:paraId="70F13170" w14:textId="77777777" w:rsidR="000D23EB" w:rsidRPr="00431B48" w:rsidRDefault="000D23EB">
      <w:pPr>
        <w:pStyle w:val="BodyText"/>
        <w:rPr>
          <w:b/>
          <w:sz w:val="28"/>
        </w:rPr>
      </w:pPr>
    </w:p>
    <w:p w14:paraId="7002828E" w14:textId="77777777" w:rsidR="000D23EB" w:rsidRPr="00431B48" w:rsidRDefault="000D23EB">
      <w:pPr>
        <w:pStyle w:val="BodyText"/>
        <w:rPr>
          <w:b/>
          <w:sz w:val="28"/>
        </w:rPr>
      </w:pPr>
    </w:p>
    <w:p w14:paraId="2B577EF1" w14:textId="77777777" w:rsidR="000D23EB" w:rsidRPr="00431B48" w:rsidRDefault="000D23EB">
      <w:pPr>
        <w:pStyle w:val="BodyText"/>
        <w:rPr>
          <w:b/>
          <w:sz w:val="28"/>
        </w:rPr>
      </w:pPr>
    </w:p>
    <w:p w14:paraId="56ADB90B" w14:textId="77777777" w:rsidR="000D23EB" w:rsidRPr="00431B48" w:rsidRDefault="000D23EB">
      <w:pPr>
        <w:pStyle w:val="BodyText"/>
        <w:rPr>
          <w:b/>
          <w:sz w:val="28"/>
        </w:rPr>
      </w:pPr>
    </w:p>
    <w:p w14:paraId="61A0BE80" w14:textId="77777777" w:rsidR="000D23EB" w:rsidRPr="00431B48" w:rsidRDefault="000D23EB">
      <w:pPr>
        <w:pStyle w:val="BodyText"/>
        <w:rPr>
          <w:b/>
          <w:sz w:val="28"/>
        </w:rPr>
      </w:pPr>
    </w:p>
    <w:p w14:paraId="6EB916BA" w14:textId="77777777" w:rsidR="000D23EB" w:rsidRPr="00431B48" w:rsidRDefault="000D23EB">
      <w:pPr>
        <w:pStyle w:val="BodyText"/>
        <w:rPr>
          <w:b/>
          <w:sz w:val="28"/>
        </w:rPr>
      </w:pPr>
    </w:p>
    <w:p w14:paraId="4DA9E2CB" w14:textId="77777777" w:rsidR="000D23EB" w:rsidRPr="00431B48" w:rsidRDefault="000D23EB">
      <w:pPr>
        <w:pStyle w:val="BodyText"/>
        <w:rPr>
          <w:b/>
          <w:sz w:val="35"/>
        </w:rPr>
      </w:pPr>
    </w:p>
    <w:p w14:paraId="096E5E17" w14:textId="77777777" w:rsidR="000D23EB" w:rsidRPr="00431B48" w:rsidRDefault="000122D8">
      <w:pPr>
        <w:ind w:left="100"/>
        <w:rPr>
          <w:b/>
          <w:sz w:val="24"/>
        </w:rPr>
      </w:pPr>
      <w:r w:rsidRPr="00431B48">
        <w:rPr>
          <w:b/>
          <w:sz w:val="24"/>
        </w:rPr>
        <w:t>Adults at Risk</w:t>
      </w:r>
    </w:p>
    <w:p w14:paraId="6A1C51C0" w14:textId="77777777" w:rsidR="000D23EB" w:rsidRPr="00431B48" w:rsidRDefault="000122D8">
      <w:pPr>
        <w:pStyle w:val="BodyText"/>
        <w:spacing w:before="92" w:line="295" w:lineRule="auto"/>
        <w:ind w:left="100" w:right="230"/>
      </w:pPr>
      <w:r w:rsidRPr="00431B48">
        <w:br w:type="column"/>
      </w:r>
      <w:r w:rsidRPr="00431B48">
        <w:t>The Children Act 1989 defines a 'child' as a person under the age of 18.</w:t>
      </w:r>
    </w:p>
    <w:p w14:paraId="5B7911D5" w14:textId="77777777" w:rsidR="000D23EB" w:rsidRPr="00431B48" w:rsidRDefault="000D23EB">
      <w:pPr>
        <w:pStyle w:val="BodyText"/>
        <w:spacing w:before="11"/>
        <w:rPr>
          <w:sz w:val="27"/>
        </w:rPr>
      </w:pPr>
    </w:p>
    <w:p w14:paraId="4EAE0579" w14:textId="77777777" w:rsidR="000D23EB" w:rsidRPr="00431B48" w:rsidRDefault="000122D8">
      <w:pPr>
        <w:pStyle w:val="BodyText"/>
        <w:spacing w:line="290" w:lineRule="auto"/>
        <w:ind w:left="100" w:right="109"/>
      </w:pPr>
      <w:r w:rsidRPr="00431B48">
        <w:t xml:space="preserve">The Health and Safety at Work Regulations 1999 (Reg 19) defines the term ‘children/child’ to apply to persons between </w:t>
      </w:r>
      <w:r w:rsidRPr="00431B48">
        <w:rPr>
          <w:spacing w:val="-5"/>
        </w:rPr>
        <w:t xml:space="preserve">birth </w:t>
      </w:r>
      <w:r w:rsidRPr="00431B48">
        <w:t>and 16 years. Under this definition, individuals of 16 and 17 years are considered ‘young</w:t>
      </w:r>
      <w:r w:rsidRPr="00431B48">
        <w:rPr>
          <w:spacing w:val="-2"/>
        </w:rPr>
        <w:t xml:space="preserve"> </w:t>
      </w:r>
      <w:proofErr w:type="gramStart"/>
      <w:r w:rsidRPr="00431B48">
        <w:t>persons’</w:t>
      </w:r>
      <w:proofErr w:type="gramEnd"/>
      <w:r w:rsidRPr="00431B48">
        <w:t>.</w:t>
      </w:r>
    </w:p>
    <w:p w14:paraId="0514DEC8" w14:textId="77777777" w:rsidR="000D23EB" w:rsidRPr="00431B48" w:rsidRDefault="000D23EB">
      <w:pPr>
        <w:pStyle w:val="BodyText"/>
        <w:spacing w:before="7"/>
        <w:rPr>
          <w:sz w:val="31"/>
        </w:rPr>
      </w:pPr>
    </w:p>
    <w:p w14:paraId="0CB360BF" w14:textId="77777777" w:rsidR="000D23EB" w:rsidRPr="00431B48" w:rsidRDefault="000122D8">
      <w:pPr>
        <w:pStyle w:val="BodyText"/>
        <w:spacing w:before="1" w:line="295" w:lineRule="auto"/>
        <w:ind w:left="100" w:right="230"/>
      </w:pPr>
      <w:r w:rsidRPr="00431B48">
        <w:t>The term ‘child’ is used within the university’s suite of</w:t>
      </w:r>
      <w:r w:rsidRPr="00431B48">
        <w:rPr>
          <w:spacing w:val="-30"/>
        </w:rPr>
        <w:t xml:space="preserve"> </w:t>
      </w:r>
      <w:r w:rsidRPr="00431B48">
        <w:t>guidance to refer to anyone under the age of</w:t>
      </w:r>
      <w:r w:rsidRPr="00431B48">
        <w:rPr>
          <w:spacing w:val="-3"/>
        </w:rPr>
        <w:t xml:space="preserve"> </w:t>
      </w:r>
      <w:r w:rsidRPr="00431B48">
        <w:t>18.</w:t>
      </w:r>
    </w:p>
    <w:p w14:paraId="58933ACE" w14:textId="77777777" w:rsidR="000D23EB" w:rsidRPr="00431B48" w:rsidRDefault="000D23EB">
      <w:pPr>
        <w:pStyle w:val="BodyText"/>
        <w:spacing w:before="7"/>
        <w:rPr>
          <w:sz w:val="29"/>
        </w:rPr>
      </w:pPr>
    </w:p>
    <w:p w14:paraId="2343CC40" w14:textId="77777777" w:rsidR="000D23EB" w:rsidRPr="00431B48" w:rsidRDefault="000122D8">
      <w:pPr>
        <w:pStyle w:val="BodyText"/>
        <w:spacing w:line="295" w:lineRule="auto"/>
        <w:ind w:left="100" w:right="123"/>
      </w:pPr>
      <w:r w:rsidRPr="00431B48">
        <w:t>The term ‘young person’ is used in this document to refer to someone who might not perceive themselves as a child, but who is still legally defined as a child being under 18.</w:t>
      </w:r>
    </w:p>
    <w:p w14:paraId="7AFF7DCD" w14:textId="77777777" w:rsidR="000D23EB" w:rsidRPr="00431B48" w:rsidRDefault="000D23EB">
      <w:pPr>
        <w:pStyle w:val="BodyText"/>
        <w:spacing w:before="5"/>
        <w:rPr>
          <w:sz w:val="31"/>
        </w:rPr>
      </w:pPr>
    </w:p>
    <w:p w14:paraId="368A1769" w14:textId="77777777" w:rsidR="000D23EB" w:rsidRPr="00431B48" w:rsidRDefault="000122D8">
      <w:pPr>
        <w:pStyle w:val="BodyText"/>
        <w:spacing w:line="290" w:lineRule="auto"/>
        <w:ind w:left="100" w:right="617"/>
      </w:pPr>
      <w:r w:rsidRPr="00431B48">
        <w:t>There is no requirement to gain consent before reporting concerns about a child to the relevant statutory authorities (police, social service or the NSPCC), nor to determine their mental capacity.</w:t>
      </w:r>
    </w:p>
    <w:p w14:paraId="208FCB6E" w14:textId="44C294EF" w:rsidR="000D23EB" w:rsidRDefault="000D23EB">
      <w:pPr>
        <w:pStyle w:val="BodyText"/>
        <w:rPr>
          <w:sz w:val="26"/>
        </w:rPr>
      </w:pPr>
    </w:p>
    <w:p w14:paraId="77D85B67" w14:textId="77777777" w:rsidR="00431B48" w:rsidRPr="00431B48" w:rsidRDefault="00431B48">
      <w:pPr>
        <w:pStyle w:val="BodyText"/>
        <w:rPr>
          <w:sz w:val="26"/>
        </w:rPr>
      </w:pPr>
    </w:p>
    <w:p w14:paraId="477BF3FB" w14:textId="77777777" w:rsidR="000D23EB" w:rsidRPr="00431B48" w:rsidRDefault="000D23EB">
      <w:pPr>
        <w:pStyle w:val="BodyText"/>
        <w:rPr>
          <w:sz w:val="26"/>
        </w:rPr>
      </w:pPr>
    </w:p>
    <w:p w14:paraId="6B160EB8" w14:textId="423782AB" w:rsidR="000D23EB" w:rsidRPr="00431B48" w:rsidRDefault="000122D8" w:rsidP="00431B48">
      <w:pPr>
        <w:pStyle w:val="BodyText"/>
        <w:spacing w:before="168"/>
        <w:ind w:left="100"/>
      </w:pPr>
      <w:r w:rsidRPr="00431B48">
        <w:t>The broad definition of an adult at risk is:</w:t>
      </w:r>
    </w:p>
    <w:p w14:paraId="1C499271" w14:textId="77777777" w:rsidR="00431B48" w:rsidRPr="00431B48" w:rsidRDefault="00431B48">
      <w:pPr>
        <w:pStyle w:val="BodyText"/>
        <w:spacing w:before="1"/>
        <w:rPr>
          <w:sz w:val="35"/>
        </w:rPr>
      </w:pPr>
    </w:p>
    <w:p w14:paraId="483F92DE" w14:textId="77777777" w:rsidR="000D23EB" w:rsidRPr="00431B48" w:rsidRDefault="000122D8">
      <w:pPr>
        <w:pStyle w:val="BodyText"/>
        <w:spacing w:line="288" w:lineRule="auto"/>
        <w:ind w:left="100" w:right="102"/>
      </w:pPr>
      <w:r w:rsidRPr="00431B48">
        <w:t>A person who is 18 years of age or over and who is experiencing or is at risk of abuse or neglect, has needs for care and support (whether or not the local authority is meeting any of those needs), and as a result of those needs is unable to protect himself or herself against the abuse or neglect or the risk of it (Social Services and Well-Being (Wales) Act 2014).</w:t>
      </w:r>
    </w:p>
    <w:p w14:paraId="49F22963" w14:textId="77777777" w:rsidR="000D23EB" w:rsidRPr="00431B48" w:rsidRDefault="000D23EB">
      <w:pPr>
        <w:pStyle w:val="BodyText"/>
        <w:spacing w:before="8"/>
        <w:rPr>
          <w:sz w:val="30"/>
        </w:rPr>
      </w:pPr>
    </w:p>
    <w:p w14:paraId="6A2A9387" w14:textId="77777777" w:rsidR="000D23EB" w:rsidRPr="00431B48" w:rsidRDefault="000122D8">
      <w:pPr>
        <w:pStyle w:val="BodyText"/>
        <w:spacing w:line="278" w:lineRule="auto"/>
        <w:ind w:left="100" w:right="349"/>
      </w:pPr>
      <w:r w:rsidRPr="00431B48">
        <w:t>People with learning disabilities, mental health problems, older people and disabled people may fall within this definition.</w:t>
      </w:r>
    </w:p>
    <w:p w14:paraId="7E6A96B4" w14:textId="77777777" w:rsidR="000D23EB" w:rsidRPr="00431B48" w:rsidRDefault="000122D8">
      <w:pPr>
        <w:pStyle w:val="BodyText"/>
        <w:spacing w:before="20"/>
        <w:ind w:left="100"/>
      </w:pPr>
      <w:r w:rsidRPr="00431B48">
        <w:t>Students with additional learning needs may also be adults at</w:t>
      </w:r>
    </w:p>
    <w:p w14:paraId="5A247079" w14:textId="77777777" w:rsidR="000D23EB" w:rsidRPr="00431B48" w:rsidRDefault="000D23EB">
      <w:pPr>
        <w:sectPr w:rsidR="000D23EB" w:rsidRPr="00431B48">
          <w:type w:val="continuous"/>
          <w:pgSz w:w="11900" w:h="16840"/>
          <w:pgMar w:top="1180" w:right="1100" w:bottom="1400" w:left="1100" w:header="720" w:footer="720" w:gutter="0"/>
          <w:cols w:num="2" w:space="720" w:equalWidth="0">
            <w:col w:w="1727" w:space="873"/>
            <w:col w:w="7100"/>
          </w:cols>
        </w:sectPr>
      </w:pPr>
    </w:p>
    <w:p w14:paraId="43875E1D" w14:textId="77777777" w:rsidR="000D23EB" w:rsidRPr="00431B48" w:rsidRDefault="000D23EB">
      <w:pPr>
        <w:pStyle w:val="BodyText"/>
        <w:rPr>
          <w:sz w:val="20"/>
        </w:rPr>
      </w:pPr>
    </w:p>
    <w:p w14:paraId="3B3268EF" w14:textId="77777777" w:rsidR="000D23EB" w:rsidRPr="00431B48" w:rsidRDefault="000D23EB">
      <w:pPr>
        <w:pStyle w:val="BodyText"/>
        <w:spacing w:before="7"/>
        <w:rPr>
          <w:sz w:val="26"/>
        </w:rPr>
      </w:pPr>
    </w:p>
    <w:p w14:paraId="17F06FF8" w14:textId="77777777" w:rsidR="000D23EB" w:rsidRPr="00431B48" w:rsidRDefault="000122D8">
      <w:pPr>
        <w:pStyle w:val="BodyText"/>
        <w:spacing w:before="93" w:line="292" w:lineRule="auto"/>
        <w:ind w:left="2700" w:right="229"/>
      </w:pPr>
      <w:r w:rsidRPr="00431B48">
        <w:t>risk. Where an accepted applicant has disclosed an appropriate condition, the Disability and Dyslexia Service will request additional information for the purposes of risk assessment to include any safeguarding needs, identifying additional support and reasonable adjustments. They will have access to independent advocacy and advice.</w:t>
      </w:r>
    </w:p>
    <w:p w14:paraId="7E043A15" w14:textId="77777777" w:rsidR="000D23EB" w:rsidRPr="00431B48" w:rsidRDefault="000D23EB">
      <w:pPr>
        <w:pStyle w:val="BodyText"/>
        <w:spacing w:before="9"/>
        <w:rPr>
          <w:sz w:val="27"/>
        </w:rPr>
      </w:pPr>
    </w:p>
    <w:p w14:paraId="0335324A" w14:textId="77777777" w:rsidR="000D23EB" w:rsidRPr="00431B48" w:rsidRDefault="000122D8">
      <w:pPr>
        <w:pStyle w:val="BodyText"/>
        <w:spacing w:line="295" w:lineRule="auto"/>
        <w:ind w:left="2700" w:right="229"/>
      </w:pPr>
      <w:r w:rsidRPr="00431B48">
        <w:t>Other legislation such as that governing DBS checks may give different variations of the definition and are applied accordingly.</w:t>
      </w:r>
    </w:p>
    <w:p w14:paraId="2AD701B3" w14:textId="77777777" w:rsidR="000D23EB" w:rsidRPr="00431B48" w:rsidRDefault="000D23EB">
      <w:pPr>
        <w:pStyle w:val="BodyText"/>
        <w:spacing w:before="11"/>
        <w:rPr>
          <w:sz w:val="27"/>
        </w:rPr>
      </w:pPr>
    </w:p>
    <w:p w14:paraId="1568E814" w14:textId="77777777" w:rsidR="000D23EB" w:rsidRPr="00431B48" w:rsidRDefault="000122D8">
      <w:pPr>
        <w:pStyle w:val="BodyText"/>
        <w:spacing w:line="290" w:lineRule="auto"/>
        <w:ind w:left="2700" w:right="229"/>
      </w:pPr>
      <w:r w:rsidRPr="00431B48">
        <w:t xml:space="preserve">Adults will be deemed as ‘at risk’ or ‘vulnerable’ at the point at which they </w:t>
      </w:r>
      <w:proofErr w:type="gramStart"/>
      <w:r w:rsidRPr="00431B48">
        <w:t>receiving</w:t>
      </w:r>
      <w:proofErr w:type="gramEnd"/>
      <w:r w:rsidRPr="00431B48">
        <w:t xml:space="preserve"> regulated activity as defined under the Safeguarding Vulnerable Groups Act 2006 (amended by the Protection of Freedoms Act 2012). A definition of regulated activity is given in this document.</w:t>
      </w:r>
    </w:p>
    <w:p w14:paraId="219E1DCA" w14:textId="77777777" w:rsidR="000D23EB" w:rsidRPr="00431B48" w:rsidRDefault="000D23EB">
      <w:pPr>
        <w:pStyle w:val="BodyText"/>
        <w:spacing w:before="8"/>
        <w:rPr>
          <w:sz w:val="35"/>
        </w:rPr>
      </w:pPr>
    </w:p>
    <w:p w14:paraId="49E98DFF" w14:textId="77777777" w:rsidR="000D23EB" w:rsidRPr="00431B48" w:rsidRDefault="000122D8">
      <w:pPr>
        <w:pStyle w:val="BodyText"/>
        <w:spacing w:before="1" w:line="290" w:lineRule="auto"/>
        <w:ind w:left="2700" w:right="126"/>
      </w:pPr>
      <w:r w:rsidRPr="00431B48">
        <w:t xml:space="preserve">In law an adult is deemed to have capacity to give or withhold consent to Social Services referrals, medical examinations, etc. If it is believed that an adult is at risk of harm and may need protection, a responsible person must consider if the individual </w:t>
      </w:r>
      <w:proofErr w:type="gramStart"/>
      <w:r w:rsidRPr="00431B48">
        <w:rPr>
          <w:spacing w:val="-6"/>
        </w:rPr>
        <w:t xml:space="preserve">is </w:t>
      </w:r>
      <w:r w:rsidRPr="00431B48">
        <w:t>capable of giving</w:t>
      </w:r>
      <w:proofErr w:type="gramEnd"/>
      <w:r w:rsidRPr="00431B48">
        <w:t xml:space="preserve"> consent. If this is so determined, a </w:t>
      </w:r>
      <w:r w:rsidRPr="00431B48">
        <w:rPr>
          <w:spacing w:val="-2"/>
        </w:rPr>
        <w:t xml:space="preserve">professional </w:t>
      </w:r>
      <w:r w:rsidRPr="00431B48">
        <w:t xml:space="preserve">acting on behalf of the </w:t>
      </w:r>
      <w:proofErr w:type="spellStart"/>
      <w:r w:rsidRPr="00431B48">
        <w:t>organisation</w:t>
      </w:r>
      <w:proofErr w:type="spellEnd"/>
      <w:r w:rsidRPr="00431B48">
        <w:t xml:space="preserve"> must seek the individual’s consent before taking any action, such as a referral to social services or the police (Mental Capacity</w:t>
      </w:r>
      <w:r w:rsidRPr="00431B48">
        <w:rPr>
          <w:spacing w:val="-16"/>
        </w:rPr>
        <w:t xml:space="preserve"> </w:t>
      </w:r>
      <w:r w:rsidRPr="00431B48">
        <w:t>Act).</w:t>
      </w:r>
    </w:p>
    <w:p w14:paraId="1FF951A5" w14:textId="7BD41788" w:rsidR="000D23EB" w:rsidRDefault="000122D8">
      <w:pPr>
        <w:pStyle w:val="BodyText"/>
        <w:spacing w:before="168" w:line="295" w:lineRule="auto"/>
        <w:ind w:left="2700" w:right="630"/>
      </w:pPr>
      <w:r w:rsidRPr="00431B48">
        <w:t>There are some exceptions to this rule where consent is not required. These are:</w:t>
      </w:r>
    </w:p>
    <w:p w14:paraId="1297AED3" w14:textId="77777777" w:rsidR="00431B48" w:rsidRPr="00431B48" w:rsidRDefault="00431B48">
      <w:pPr>
        <w:pStyle w:val="BodyText"/>
        <w:spacing w:before="168" w:line="295" w:lineRule="auto"/>
        <w:ind w:left="2700" w:right="630"/>
      </w:pPr>
    </w:p>
    <w:p w14:paraId="3ABDF0E5" w14:textId="77777777" w:rsidR="000D23EB" w:rsidRPr="00431B48" w:rsidRDefault="000122D8">
      <w:pPr>
        <w:pStyle w:val="ListParagraph"/>
        <w:numPr>
          <w:ilvl w:val="0"/>
          <w:numId w:val="2"/>
        </w:numPr>
        <w:tabs>
          <w:tab w:val="left" w:pos="2851"/>
        </w:tabs>
        <w:spacing w:before="181" w:line="295" w:lineRule="auto"/>
        <w:ind w:right="750" w:firstLine="0"/>
        <w:rPr>
          <w:sz w:val="24"/>
        </w:rPr>
      </w:pPr>
      <w:r w:rsidRPr="00431B48">
        <w:rPr>
          <w:sz w:val="24"/>
        </w:rPr>
        <w:t xml:space="preserve">Where there is a duty to act (e.g. a crime may have </w:t>
      </w:r>
      <w:r w:rsidRPr="00431B48">
        <w:rPr>
          <w:spacing w:val="-3"/>
          <w:sz w:val="24"/>
        </w:rPr>
        <w:t xml:space="preserve">taken </w:t>
      </w:r>
      <w:r w:rsidRPr="00431B48">
        <w:rPr>
          <w:sz w:val="24"/>
        </w:rPr>
        <w:t>place);</w:t>
      </w:r>
      <w:r w:rsidRPr="00431B48">
        <w:rPr>
          <w:spacing w:val="-1"/>
          <w:sz w:val="24"/>
        </w:rPr>
        <w:t xml:space="preserve"> </w:t>
      </w:r>
      <w:r w:rsidRPr="00431B48">
        <w:rPr>
          <w:sz w:val="24"/>
        </w:rPr>
        <w:t>or</w:t>
      </w:r>
    </w:p>
    <w:p w14:paraId="0A86FC80" w14:textId="3F8620D0" w:rsidR="000D23EB" w:rsidRPr="00431B48" w:rsidRDefault="000122D8" w:rsidP="00431B48">
      <w:pPr>
        <w:pStyle w:val="ListParagraph"/>
        <w:numPr>
          <w:ilvl w:val="0"/>
          <w:numId w:val="2"/>
        </w:numPr>
        <w:tabs>
          <w:tab w:val="left" w:pos="2851"/>
        </w:tabs>
        <w:spacing w:before="161" w:line="295" w:lineRule="auto"/>
        <w:ind w:right="430" w:firstLine="0"/>
        <w:rPr>
          <w:sz w:val="24"/>
        </w:rPr>
      </w:pPr>
      <w:r w:rsidRPr="00431B48">
        <w:rPr>
          <w:sz w:val="24"/>
        </w:rPr>
        <w:t xml:space="preserve">When it is in the public interest to act (e.g. another person </w:t>
      </w:r>
      <w:r w:rsidRPr="00431B48">
        <w:rPr>
          <w:spacing w:val="-6"/>
          <w:sz w:val="24"/>
        </w:rPr>
        <w:t xml:space="preserve">or </w:t>
      </w:r>
      <w:r w:rsidRPr="00431B48">
        <w:rPr>
          <w:sz w:val="24"/>
        </w:rPr>
        <w:t>people, child or adult, is/are put at risk);</w:t>
      </w:r>
      <w:r w:rsidRPr="00431B48">
        <w:rPr>
          <w:spacing w:val="-7"/>
          <w:sz w:val="24"/>
        </w:rPr>
        <w:t xml:space="preserve"> </w:t>
      </w:r>
      <w:r w:rsidRPr="00431B48">
        <w:rPr>
          <w:sz w:val="24"/>
        </w:rPr>
        <w:t>or</w:t>
      </w:r>
    </w:p>
    <w:p w14:paraId="77917BFC" w14:textId="77777777" w:rsidR="000D23EB" w:rsidRPr="00431B48" w:rsidRDefault="000122D8">
      <w:pPr>
        <w:pStyle w:val="ListParagraph"/>
        <w:numPr>
          <w:ilvl w:val="0"/>
          <w:numId w:val="2"/>
        </w:numPr>
        <w:tabs>
          <w:tab w:val="left" w:pos="2851"/>
        </w:tabs>
        <w:spacing w:before="93" w:line="295" w:lineRule="auto"/>
        <w:ind w:right="763" w:firstLine="0"/>
        <w:rPr>
          <w:sz w:val="24"/>
        </w:rPr>
      </w:pPr>
      <w:r w:rsidRPr="00431B48">
        <w:rPr>
          <w:sz w:val="24"/>
        </w:rPr>
        <w:t xml:space="preserve">When it is suspected that the individual may be under </w:t>
      </w:r>
      <w:r w:rsidRPr="00431B48">
        <w:rPr>
          <w:spacing w:val="-5"/>
          <w:sz w:val="24"/>
        </w:rPr>
        <w:t xml:space="preserve">the </w:t>
      </w:r>
      <w:r w:rsidRPr="00431B48">
        <w:rPr>
          <w:sz w:val="24"/>
        </w:rPr>
        <w:t>undue influence of someone</w:t>
      </w:r>
      <w:r w:rsidRPr="00431B48">
        <w:rPr>
          <w:spacing w:val="-1"/>
          <w:sz w:val="24"/>
        </w:rPr>
        <w:t xml:space="preserve"> </w:t>
      </w:r>
      <w:r w:rsidRPr="00431B48">
        <w:rPr>
          <w:sz w:val="24"/>
        </w:rPr>
        <w:t>else.</w:t>
      </w:r>
    </w:p>
    <w:p w14:paraId="234E694F" w14:textId="601A9637" w:rsidR="000D23EB" w:rsidRDefault="000D23EB">
      <w:pPr>
        <w:pStyle w:val="BodyText"/>
        <w:spacing w:before="10"/>
        <w:rPr>
          <w:sz w:val="27"/>
        </w:rPr>
      </w:pPr>
    </w:p>
    <w:p w14:paraId="77019358" w14:textId="77777777" w:rsidR="00431B48" w:rsidRPr="00431B48" w:rsidRDefault="00431B48">
      <w:pPr>
        <w:pStyle w:val="BodyText"/>
        <w:spacing w:before="10"/>
        <w:rPr>
          <w:sz w:val="27"/>
        </w:rPr>
      </w:pPr>
    </w:p>
    <w:p w14:paraId="7BAD8D27" w14:textId="7DA1550B" w:rsidR="000D23EB" w:rsidRPr="00431B48" w:rsidRDefault="000122D8" w:rsidP="00431B48">
      <w:pPr>
        <w:pStyle w:val="BodyText"/>
        <w:spacing w:line="290" w:lineRule="auto"/>
        <w:ind w:left="2700" w:right="415"/>
      </w:pPr>
      <w:r w:rsidRPr="00431B48">
        <w:t xml:space="preserve">Information sharing protocols (see Supporting Guidance and Practice Guidance Note 1: Reporting Concerns) will evidence that consideration of capacity to consent has taken place, that </w:t>
      </w:r>
      <w:r w:rsidRPr="00431B48">
        <w:lastRenderedPageBreak/>
        <w:t>consent has been given or withheld or the decision-making process to judge that this is not required.</w:t>
      </w:r>
    </w:p>
    <w:p w14:paraId="238A5E13" w14:textId="77777777" w:rsidR="00431B48" w:rsidRPr="00431B48" w:rsidRDefault="00431B48">
      <w:pPr>
        <w:pStyle w:val="BodyText"/>
        <w:rPr>
          <w:sz w:val="20"/>
        </w:rPr>
      </w:pPr>
    </w:p>
    <w:p w14:paraId="11EA71AC" w14:textId="77777777" w:rsidR="000D23EB" w:rsidRDefault="000D23EB">
      <w:pPr>
        <w:rPr>
          <w:sz w:val="20"/>
        </w:rPr>
      </w:pPr>
    </w:p>
    <w:p w14:paraId="4C0D19E9" w14:textId="77DA6F3D" w:rsidR="00431B48" w:rsidRPr="00431B48" w:rsidRDefault="00431B48">
      <w:pPr>
        <w:rPr>
          <w:sz w:val="20"/>
        </w:rPr>
        <w:sectPr w:rsidR="00431B48" w:rsidRPr="00431B48">
          <w:pgSz w:w="11900" w:h="16840"/>
          <w:pgMar w:top="1180" w:right="1100" w:bottom="1400" w:left="1100" w:header="960" w:footer="1210" w:gutter="0"/>
          <w:cols w:space="720"/>
        </w:sectPr>
      </w:pPr>
    </w:p>
    <w:p w14:paraId="2DA7EC84" w14:textId="77777777" w:rsidR="000D23EB" w:rsidRPr="00431B48" w:rsidRDefault="000D23EB">
      <w:pPr>
        <w:pStyle w:val="BodyText"/>
        <w:spacing w:before="5"/>
      </w:pPr>
    </w:p>
    <w:p w14:paraId="1E295ADF" w14:textId="77777777" w:rsidR="000D23EB" w:rsidRPr="00431B48" w:rsidRDefault="000122D8">
      <w:pPr>
        <w:pStyle w:val="Heading1"/>
        <w:spacing w:line="261" w:lineRule="auto"/>
        <w:ind w:right="2"/>
      </w:pPr>
      <w:r w:rsidRPr="00431B48">
        <w:t>Regulated Activity with Children</w:t>
      </w:r>
    </w:p>
    <w:p w14:paraId="338FEB76" w14:textId="77777777" w:rsidR="000D23EB" w:rsidRPr="00431B48" w:rsidRDefault="000122D8">
      <w:pPr>
        <w:pStyle w:val="BodyText"/>
        <w:spacing w:before="10"/>
        <w:rPr>
          <w:b/>
          <w:sz w:val="27"/>
        </w:rPr>
      </w:pPr>
      <w:r w:rsidRPr="00431B48">
        <w:br w:type="column"/>
      </w:r>
    </w:p>
    <w:p w14:paraId="3348EE87" w14:textId="09B83490" w:rsidR="000D23EB" w:rsidRDefault="000122D8">
      <w:pPr>
        <w:pStyle w:val="BodyText"/>
        <w:ind w:left="100"/>
      </w:pPr>
      <w:r w:rsidRPr="00431B48">
        <w:t>Regulated activity with a child includes:</w:t>
      </w:r>
    </w:p>
    <w:p w14:paraId="7AC53D78" w14:textId="77777777" w:rsidR="00431B48" w:rsidRPr="00431B48" w:rsidRDefault="00431B48">
      <w:pPr>
        <w:pStyle w:val="BodyText"/>
        <w:ind w:left="100"/>
      </w:pPr>
    </w:p>
    <w:p w14:paraId="0FF370A9" w14:textId="77777777" w:rsidR="000D23EB" w:rsidRPr="00431B48" w:rsidRDefault="000D23EB">
      <w:pPr>
        <w:pStyle w:val="BodyText"/>
        <w:spacing w:before="3"/>
        <w:rPr>
          <w:sz w:val="21"/>
        </w:rPr>
      </w:pPr>
    </w:p>
    <w:p w14:paraId="0935BF0B" w14:textId="77777777" w:rsidR="000D23EB" w:rsidRPr="00431B48" w:rsidRDefault="000122D8">
      <w:pPr>
        <w:pStyle w:val="ListParagraph"/>
        <w:numPr>
          <w:ilvl w:val="0"/>
          <w:numId w:val="1"/>
        </w:numPr>
        <w:tabs>
          <w:tab w:val="left" w:pos="251"/>
        </w:tabs>
        <w:spacing w:line="288" w:lineRule="auto"/>
        <w:ind w:right="180" w:firstLine="0"/>
        <w:rPr>
          <w:sz w:val="24"/>
        </w:rPr>
      </w:pPr>
      <w:r w:rsidRPr="00431B48">
        <w:rPr>
          <w:sz w:val="24"/>
        </w:rPr>
        <w:t xml:space="preserve">Unsupervised teaching, training or instruction of children (teaching/training provided wholly or mainly for children not courses aimed at/delivered to students who are mainly over the age of 18), carried out by the same person frequently (once a week or more often), or on 4 or more days in a 30-day period, </w:t>
      </w:r>
      <w:r w:rsidRPr="00431B48">
        <w:rPr>
          <w:spacing w:val="-6"/>
          <w:sz w:val="24"/>
        </w:rPr>
        <w:t xml:space="preserve">or </w:t>
      </w:r>
      <w:r w:rsidRPr="00431B48">
        <w:rPr>
          <w:sz w:val="24"/>
        </w:rPr>
        <w:t>overnight (2am -</w:t>
      </w:r>
      <w:r w:rsidRPr="00431B48">
        <w:rPr>
          <w:spacing w:val="-3"/>
          <w:sz w:val="24"/>
        </w:rPr>
        <w:t xml:space="preserve"> </w:t>
      </w:r>
      <w:r w:rsidRPr="00431B48">
        <w:rPr>
          <w:sz w:val="24"/>
        </w:rPr>
        <w:t>6am)</w:t>
      </w:r>
    </w:p>
    <w:p w14:paraId="6DEEAC96" w14:textId="77777777" w:rsidR="000D23EB" w:rsidRPr="00431B48" w:rsidRDefault="000122D8">
      <w:pPr>
        <w:pStyle w:val="ListParagraph"/>
        <w:numPr>
          <w:ilvl w:val="0"/>
          <w:numId w:val="1"/>
        </w:numPr>
        <w:tabs>
          <w:tab w:val="left" w:pos="251"/>
        </w:tabs>
        <w:spacing w:before="193"/>
        <w:ind w:left="250"/>
        <w:rPr>
          <w:sz w:val="24"/>
        </w:rPr>
      </w:pPr>
      <w:r w:rsidRPr="00431B48">
        <w:rPr>
          <w:sz w:val="24"/>
        </w:rPr>
        <w:t>Care (personal and health care) or supervision of</w:t>
      </w:r>
      <w:r w:rsidRPr="00431B48">
        <w:rPr>
          <w:spacing w:val="-3"/>
          <w:sz w:val="24"/>
        </w:rPr>
        <w:t xml:space="preserve"> </w:t>
      </w:r>
      <w:r w:rsidRPr="00431B48">
        <w:rPr>
          <w:sz w:val="24"/>
        </w:rPr>
        <w:t>children</w:t>
      </w:r>
    </w:p>
    <w:p w14:paraId="785FDB0B" w14:textId="77777777" w:rsidR="000D23EB" w:rsidRPr="00431B48" w:rsidRDefault="000D23EB">
      <w:pPr>
        <w:pStyle w:val="BodyText"/>
        <w:spacing w:before="2"/>
        <w:rPr>
          <w:sz w:val="21"/>
        </w:rPr>
      </w:pPr>
    </w:p>
    <w:p w14:paraId="10632C36" w14:textId="77777777" w:rsidR="000D23EB" w:rsidRPr="00431B48" w:rsidRDefault="000122D8">
      <w:pPr>
        <w:pStyle w:val="ListParagraph"/>
        <w:numPr>
          <w:ilvl w:val="0"/>
          <w:numId w:val="1"/>
        </w:numPr>
        <w:tabs>
          <w:tab w:val="left" w:pos="238"/>
        </w:tabs>
        <w:spacing w:line="288" w:lineRule="auto"/>
        <w:ind w:right="473" w:firstLine="0"/>
        <w:rPr>
          <w:sz w:val="24"/>
        </w:rPr>
      </w:pPr>
      <w:r w:rsidRPr="00431B48">
        <w:rPr>
          <w:sz w:val="24"/>
        </w:rPr>
        <w:t xml:space="preserve">Advice or guidance provided wholly or mainly for children relating to their physical, emotional or educational wellbeing </w:t>
      </w:r>
      <w:r w:rsidRPr="00431B48">
        <w:rPr>
          <w:spacing w:val="-7"/>
          <w:sz w:val="24"/>
        </w:rPr>
        <w:t xml:space="preserve">if </w:t>
      </w:r>
      <w:r w:rsidRPr="00431B48">
        <w:rPr>
          <w:sz w:val="24"/>
        </w:rPr>
        <w:t>carried out by the same person frequently (as</w:t>
      </w:r>
      <w:r w:rsidRPr="00431B48">
        <w:rPr>
          <w:spacing w:val="-2"/>
          <w:sz w:val="24"/>
        </w:rPr>
        <w:t xml:space="preserve"> </w:t>
      </w:r>
      <w:r w:rsidRPr="00431B48">
        <w:rPr>
          <w:sz w:val="24"/>
        </w:rPr>
        <w:t>above)</w:t>
      </w:r>
    </w:p>
    <w:p w14:paraId="47A3C6CB" w14:textId="77777777" w:rsidR="000D23EB" w:rsidRPr="00431B48" w:rsidRDefault="000122D8">
      <w:pPr>
        <w:pStyle w:val="ListParagraph"/>
        <w:numPr>
          <w:ilvl w:val="0"/>
          <w:numId w:val="1"/>
        </w:numPr>
        <w:tabs>
          <w:tab w:val="left" w:pos="251"/>
        </w:tabs>
        <w:spacing w:before="187" w:line="288" w:lineRule="auto"/>
        <w:ind w:right="181" w:firstLine="0"/>
        <w:rPr>
          <w:sz w:val="24"/>
        </w:rPr>
      </w:pPr>
      <w:r w:rsidRPr="00431B48">
        <w:rPr>
          <w:sz w:val="24"/>
        </w:rPr>
        <w:t xml:space="preserve">Moderating a public electronic interactive communication service likely to be used wholly or mainly by children, carried </w:t>
      </w:r>
      <w:r w:rsidRPr="00431B48">
        <w:rPr>
          <w:spacing w:val="-5"/>
          <w:sz w:val="24"/>
        </w:rPr>
        <w:t xml:space="preserve">out </w:t>
      </w:r>
      <w:r w:rsidRPr="00431B48">
        <w:rPr>
          <w:sz w:val="24"/>
        </w:rPr>
        <w:t>by the same person frequently (as above)</w:t>
      </w:r>
    </w:p>
    <w:p w14:paraId="710E35E8" w14:textId="77777777" w:rsidR="000D23EB" w:rsidRPr="00431B48" w:rsidRDefault="000122D8">
      <w:pPr>
        <w:pStyle w:val="ListParagraph"/>
        <w:numPr>
          <w:ilvl w:val="0"/>
          <w:numId w:val="1"/>
        </w:numPr>
        <w:tabs>
          <w:tab w:val="left" w:pos="251"/>
        </w:tabs>
        <w:spacing w:before="186"/>
        <w:ind w:left="250"/>
        <w:rPr>
          <w:sz w:val="24"/>
        </w:rPr>
      </w:pPr>
      <w:r w:rsidRPr="00431B48">
        <w:rPr>
          <w:sz w:val="24"/>
        </w:rPr>
        <w:t>Driving a vehicle being used to convey children</w:t>
      </w:r>
    </w:p>
    <w:p w14:paraId="4936EF28" w14:textId="77777777" w:rsidR="000D23EB" w:rsidRPr="00431B48" w:rsidRDefault="000D23EB">
      <w:pPr>
        <w:pStyle w:val="BodyText"/>
        <w:spacing w:before="2"/>
        <w:rPr>
          <w:sz w:val="35"/>
        </w:rPr>
      </w:pPr>
    </w:p>
    <w:p w14:paraId="5B819E55" w14:textId="77777777" w:rsidR="000D23EB" w:rsidRPr="00431B48" w:rsidRDefault="000122D8">
      <w:pPr>
        <w:pStyle w:val="BodyText"/>
        <w:spacing w:line="278" w:lineRule="auto"/>
        <w:ind w:left="100" w:right="771"/>
      </w:pPr>
      <w:r w:rsidRPr="00431B48">
        <w:t xml:space="preserve">Further information is available at: </w:t>
      </w:r>
      <w:hyperlink r:id="rId9">
        <w:r w:rsidRPr="00431B48">
          <w:t>www.gov.uk/disclosure-</w:t>
        </w:r>
      </w:hyperlink>
      <w:r w:rsidRPr="00431B48">
        <w:t xml:space="preserve"> barring-service- check/overview</w:t>
      </w:r>
    </w:p>
    <w:p w14:paraId="16A403B0" w14:textId="77777777" w:rsidR="000D23EB" w:rsidRPr="00431B48" w:rsidRDefault="000D23EB">
      <w:pPr>
        <w:pStyle w:val="BodyText"/>
        <w:spacing w:before="3"/>
        <w:rPr>
          <w:sz w:val="31"/>
        </w:rPr>
      </w:pPr>
    </w:p>
    <w:p w14:paraId="62186CD5" w14:textId="31487BCF" w:rsidR="000D23EB" w:rsidRDefault="000122D8" w:rsidP="00431B48">
      <w:pPr>
        <w:pStyle w:val="BodyText"/>
        <w:spacing w:line="278" w:lineRule="auto"/>
        <w:ind w:left="100" w:right="164"/>
      </w:pPr>
      <w:r w:rsidRPr="00431B48">
        <w:t>Where a role has some limited, short-term or supervised contact with children or adults in a vulnerable situation (for instance for</w:t>
      </w:r>
      <w:r w:rsidR="00431B48">
        <w:t xml:space="preserve"> </w:t>
      </w:r>
      <w:r w:rsidR="00431B48" w:rsidRPr="00431B48">
        <w:t>work experience placements, summer schools, undertaking normal teaching duties or carrying out standard out-reach activities) this is unlikely to meet the definition of regulated activity and so would not be subject to a DBS check with a barring list check.</w:t>
      </w:r>
    </w:p>
    <w:p w14:paraId="77A9F310" w14:textId="77777777" w:rsidR="00431B48" w:rsidRDefault="00431B48" w:rsidP="00431B48">
      <w:pPr>
        <w:pStyle w:val="BodyText"/>
        <w:spacing w:line="278" w:lineRule="auto"/>
        <w:ind w:left="100" w:right="164"/>
      </w:pPr>
    </w:p>
    <w:p w14:paraId="6306492C" w14:textId="7D91108D" w:rsidR="00431B48" w:rsidRPr="00431B48" w:rsidRDefault="00431B48" w:rsidP="00431B48">
      <w:pPr>
        <w:pStyle w:val="BodyText"/>
        <w:spacing w:line="278" w:lineRule="auto"/>
        <w:ind w:left="100" w:right="164"/>
        <w:sectPr w:rsidR="00431B48" w:rsidRPr="00431B48">
          <w:type w:val="continuous"/>
          <w:pgSz w:w="11900" w:h="16840"/>
          <w:pgMar w:top="1180" w:right="1100" w:bottom="1400" w:left="1100" w:header="720" w:footer="720" w:gutter="0"/>
          <w:cols w:num="2" w:space="720" w:equalWidth="0">
            <w:col w:w="1536" w:space="1064"/>
            <w:col w:w="7100"/>
          </w:cols>
        </w:sectPr>
      </w:pPr>
      <w:r w:rsidRPr="00431B48">
        <w:t>Consideration will be given to roles which meet eligibility for an enhanced DBS check without the barring list check.</w:t>
      </w:r>
    </w:p>
    <w:p w14:paraId="14951608" w14:textId="77777777" w:rsidR="000D23EB" w:rsidRPr="00431B48" w:rsidRDefault="000D23EB">
      <w:pPr>
        <w:pStyle w:val="BodyText"/>
        <w:rPr>
          <w:sz w:val="20"/>
        </w:rPr>
      </w:pPr>
    </w:p>
    <w:p w14:paraId="726DB78D" w14:textId="77777777" w:rsidR="000D23EB" w:rsidRPr="00431B48" w:rsidRDefault="000D23EB">
      <w:pPr>
        <w:pStyle w:val="BodyText"/>
        <w:rPr>
          <w:sz w:val="20"/>
        </w:rPr>
      </w:pPr>
    </w:p>
    <w:p w14:paraId="762789C4" w14:textId="77777777" w:rsidR="000D23EB" w:rsidRPr="00431B48" w:rsidRDefault="000D23EB">
      <w:pPr>
        <w:pStyle w:val="BodyText"/>
        <w:rPr>
          <w:sz w:val="20"/>
        </w:rPr>
      </w:pPr>
    </w:p>
    <w:p w14:paraId="65DD139F" w14:textId="77777777" w:rsidR="000D23EB" w:rsidRPr="00431B48" w:rsidRDefault="000D23EB">
      <w:pPr>
        <w:pStyle w:val="BodyText"/>
        <w:rPr>
          <w:sz w:val="20"/>
        </w:rPr>
      </w:pPr>
    </w:p>
    <w:p w14:paraId="6D46987F" w14:textId="77777777" w:rsidR="000D23EB" w:rsidRPr="00431B48" w:rsidRDefault="000D23EB">
      <w:pPr>
        <w:rPr>
          <w:sz w:val="20"/>
        </w:rPr>
        <w:sectPr w:rsidR="000D23EB" w:rsidRPr="00431B48">
          <w:pgSz w:w="11900" w:h="16840"/>
          <w:pgMar w:top="1180" w:right="1100" w:bottom="1400" w:left="1100" w:header="960" w:footer="1210" w:gutter="0"/>
          <w:cols w:space="720"/>
        </w:sectPr>
      </w:pPr>
    </w:p>
    <w:p w14:paraId="485522E4" w14:textId="77777777" w:rsidR="000D23EB" w:rsidRPr="00431B48" w:rsidRDefault="000D23EB">
      <w:pPr>
        <w:pStyle w:val="BodyText"/>
        <w:spacing w:before="7"/>
        <w:rPr>
          <w:sz w:val="23"/>
        </w:rPr>
      </w:pPr>
    </w:p>
    <w:p w14:paraId="05286E42" w14:textId="77777777" w:rsidR="000D23EB" w:rsidRPr="00431B48" w:rsidRDefault="000122D8">
      <w:pPr>
        <w:pStyle w:val="Heading1"/>
        <w:spacing w:line="261" w:lineRule="auto"/>
        <w:ind w:right="6"/>
      </w:pPr>
      <w:r w:rsidRPr="00431B48">
        <w:t>Regulated Activity with Adults at Risk</w:t>
      </w:r>
    </w:p>
    <w:p w14:paraId="7B1A7CE4" w14:textId="77777777" w:rsidR="000D23EB" w:rsidRPr="00431B48" w:rsidRDefault="000122D8">
      <w:pPr>
        <w:pStyle w:val="BodyText"/>
        <w:spacing w:before="1"/>
        <w:rPr>
          <w:b/>
          <w:sz w:val="27"/>
        </w:rPr>
      </w:pPr>
      <w:r w:rsidRPr="00431B48">
        <w:br w:type="column"/>
      </w:r>
    </w:p>
    <w:p w14:paraId="42362965" w14:textId="1D9F17D8" w:rsidR="000D23EB" w:rsidRDefault="000122D8">
      <w:pPr>
        <w:pStyle w:val="BodyText"/>
        <w:ind w:left="100"/>
      </w:pPr>
      <w:r w:rsidRPr="00431B48">
        <w:t>Regulated activity with adults at risk includes:</w:t>
      </w:r>
    </w:p>
    <w:p w14:paraId="7B626B38" w14:textId="77777777" w:rsidR="00431B48" w:rsidRPr="00431B48" w:rsidRDefault="00431B48">
      <w:pPr>
        <w:pStyle w:val="BodyText"/>
        <w:ind w:left="100"/>
      </w:pPr>
    </w:p>
    <w:p w14:paraId="32DED731" w14:textId="77777777" w:rsidR="000D23EB" w:rsidRPr="00431B48" w:rsidRDefault="000D23EB">
      <w:pPr>
        <w:pStyle w:val="BodyText"/>
        <w:spacing w:before="2"/>
        <w:rPr>
          <w:sz w:val="21"/>
        </w:rPr>
      </w:pPr>
    </w:p>
    <w:p w14:paraId="29F241ED" w14:textId="77777777" w:rsidR="000D23EB" w:rsidRPr="00431B48" w:rsidRDefault="000122D8">
      <w:pPr>
        <w:pStyle w:val="ListParagraph"/>
        <w:numPr>
          <w:ilvl w:val="0"/>
          <w:numId w:val="1"/>
        </w:numPr>
        <w:tabs>
          <w:tab w:val="left" w:pos="251"/>
        </w:tabs>
        <w:spacing w:line="290" w:lineRule="auto"/>
        <w:ind w:right="433" w:firstLine="0"/>
        <w:rPr>
          <w:sz w:val="24"/>
        </w:rPr>
      </w:pPr>
      <w:r w:rsidRPr="00431B48">
        <w:rPr>
          <w:sz w:val="24"/>
        </w:rPr>
        <w:t xml:space="preserve">Personal care (physical assistance with eating or drinking, toileting, washing or bathing, dressing, oral care or care of </w:t>
      </w:r>
      <w:r w:rsidRPr="00431B48">
        <w:rPr>
          <w:spacing w:val="-4"/>
          <w:sz w:val="24"/>
        </w:rPr>
        <w:t xml:space="preserve">the </w:t>
      </w:r>
      <w:r w:rsidRPr="00431B48">
        <w:rPr>
          <w:sz w:val="24"/>
        </w:rPr>
        <w:t>skin, hair or nails provided for reasons of age, illness or disability)</w:t>
      </w:r>
    </w:p>
    <w:p w14:paraId="4DD7F3BE" w14:textId="77777777" w:rsidR="000D23EB" w:rsidRPr="00431B48" w:rsidRDefault="000122D8">
      <w:pPr>
        <w:pStyle w:val="ListParagraph"/>
        <w:numPr>
          <w:ilvl w:val="0"/>
          <w:numId w:val="1"/>
        </w:numPr>
        <w:tabs>
          <w:tab w:val="left" w:pos="251"/>
        </w:tabs>
        <w:spacing w:before="185" w:line="278" w:lineRule="auto"/>
        <w:ind w:right="353" w:firstLine="0"/>
        <w:rPr>
          <w:sz w:val="24"/>
        </w:rPr>
      </w:pPr>
      <w:r w:rsidRPr="00431B48">
        <w:rPr>
          <w:sz w:val="24"/>
        </w:rPr>
        <w:t>Healthcare (by a health care professional or a person acting under the direction or supervision of a healthcare</w:t>
      </w:r>
      <w:r w:rsidRPr="00431B48">
        <w:rPr>
          <w:spacing w:val="-17"/>
          <w:sz w:val="24"/>
        </w:rPr>
        <w:t xml:space="preserve"> </w:t>
      </w:r>
      <w:r w:rsidRPr="00431B48">
        <w:rPr>
          <w:sz w:val="24"/>
        </w:rPr>
        <w:t>professional)</w:t>
      </w:r>
    </w:p>
    <w:p w14:paraId="70AEA746" w14:textId="77777777" w:rsidR="000D23EB" w:rsidRPr="00431B48" w:rsidRDefault="000122D8">
      <w:pPr>
        <w:pStyle w:val="ListParagraph"/>
        <w:numPr>
          <w:ilvl w:val="0"/>
          <w:numId w:val="1"/>
        </w:numPr>
        <w:tabs>
          <w:tab w:val="left" w:pos="251"/>
        </w:tabs>
        <w:spacing w:before="199"/>
        <w:ind w:left="250"/>
        <w:rPr>
          <w:sz w:val="24"/>
        </w:rPr>
      </w:pPr>
      <w:r w:rsidRPr="00431B48">
        <w:rPr>
          <w:sz w:val="24"/>
        </w:rPr>
        <w:t>Social</w:t>
      </w:r>
      <w:r w:rsidRPr="00431B48">
        <w:rPr>
          <w:spacing w:val="-1"/>
          <w:sz w:val="24"/>
        </w:rPr>
        <w:t xml:space="preserve"> </w:t>
      </w:r>
      <w:r w:rsidRPr="00431B48">
        <w:rPr>
          <w:sz w:val="24"/>
        </w:rPr>
        <w:t>work</w:t>
      </w:r>
    </w:p>
    <w:p w14:paraId="77540DCE" w14:textId="77777777" w:rsidR="000D23EB" w:rsidRPr="00431B48" w:rsidRDefault="000D23EB">
      <w:pPr>
        <w:pStyle w:val="BodyText"/>
        <w:spacing w:before="3"/>
        <w:rPr>
          <w:sz w:val="21"/>
        </w:rPr>
      </w:pPr>
    </w:p>
    <w:p w14:paraId="6EA28EE5" w14:textId="77777777" w:rsidR="000D23EB" w:rsidRPr="00431B48" w:rsidRDefault="000122D8">
      <w:pPr>
        <w:pStyle w:val="ListParagraph"/>
        <w:numPr>
          <w:ilvl w:val="0"/>
          <w:numId w:val="1"/>
        </w:numPr>
        <w:tabs>
          <w:tab w:val="left" w:pos="238"/>
        </w:tabs>
        <w:ind w:left="237" w:hanging="138"/>
        <w:rPr>
          <w:sz w:val="24"/>
        </w:rPr>
      </w:pPr>
      <w:r w:rsidRPr="00431B48">
        <w:rPr>
          <w:sz w:val="24"/>
        </w:rPr>
        <w:t>Assistance in day-to-day matters including handling</w:t>
      </w:r>
      <w:r w:rsidRPr="00431B48">
        <w:rPr>
          <w:spacing w:val="-2"/>
          <w:sz w:val="24"/>
        </w:rPr>
        <w:t xml:space="preserve"> </w:t>
      </w:r>
      <w:r w:rsidRPr="00431B48">
        <w:rPr>
          <w:sz w:val="24"/>
        </w:rPr>
        <w:t>cash</w:t>
      </w:r>
    </w:p>
    <w:p w14:paraId="6D50D928" w14:textId="77777777" w:rsidR="000D23EB" w:rsidRPr="00431B48" w:rsidRDefault="000122D8">
      <w:pPr>
        <w:pStyle w:val="ListParagraph"/>
        <w:numPr>
          <w:ilvl w:val="0"/>
          <w:numId w:val="1"/>
        </w:numPr>
        <w:tabs>
          <w:tab w:val="left" w:pos="251"/>
        </w:tabs>
        <w:spacing w:before="224" w:line="295" w:lineRule="auto"/>
        <w:ind w:right="180" w:firstLine="0"/>
        <w:rPr>
          <w:sz w:val="24"/>
        </w:rPr>
      </w:pPr>
      <w:r w:rsidRPr="00431B48">
        <w:rPr>
          <w:sz w:val="24"/>
        </w:rPr>
        <w:t xml:space="preserve">Driving the adult to appointments for the purposes </w:t>
      </w:r>
      <w:proofErr w:type="gramStart"/>
      <w:r w:rsidRPr="00431B48">
        <w:rPr>
          <w:sz w:val="24"/>
        </w:rPr>
        <w:t>of:</w:t>
      </w:r>
      <w:proofErr w:type="gramEnd"/>
      <w:r w:rsidRPr="00431B48">
        <w:rPr>
          <w:sz w:val="24"/>
        </w:rPr>
        <w:t xml:space="preserve"> health care, personal care or social work required due to age, illness </w:t>
      </w:r>
      <w:r w:rsidRPr="00431B48">
        <w:rPr>
          <w:spacing w:val="-7"/>
          <w:sz w:val="24"/>
        </w:rPr>
        <w:t xml:space="preserve">or </w:t>
      </w:r>
      <w:r w:rsidRPr="00431B48">
        <w:rPr>
          <w:sz w:val="24"/>
        </w:rPr>
        <w:t>disability</w:t>
      </w:r>
    </w:p>
    <w:p w14:paraId="51A7B802" w14:textId="77777777" w:rsidR="000D23EB" w:rsidRPr="00431B48" w:rsidRDefault="000122D8">
      <w:pPr>
        <w:pStyle w:val="ListParagraph"/>
        <w:numPr>
          <w:ilvl w:val="0"/>
          <w:numId w:val="1"/>
        </w:numPr>
        <w:tabs>
          <w:tab w:val="left" w:pos="251"/>
        </w:tabs>
        <w:spacing w:before="182" w:line="290" w:lineRule="auto"/>
        <w:ind w:right="229" w:firstLine="0"/>
        <w:rPr>
          <w:sz w:val="24"/>
        </w:rPr>
      </w:pPr>
      <w:r w:rsidRPr="00431B48">
        <w:rPr>
          <w:sz w:val="24"/>
        </w:rPr>
        <w:t xml:space="preserve">People who hold a lasting or enduring power of attorney </w:t>
      </w:r>
      <w:r w:rsidRPr="00431B48">
        <w:rPr>
          <w:spacing w:val="-3"/>
          <w:sz w:val="24"/>
        </w:rPr>
        <w:t xml:space="preserve">under </w:t>
      </w:r>
      <w:r w:rsidRPr="00431B48">
        <w:rPr>
          <w:sz w:val="24"/>
        </w:rPr>
        <w:t>the Mental Capacity Act 2005 (MCA), a deputy under the MCA, an Independent Mental Health/Capacity Advocate in respect of the individual</w:t>
      </w:r>
    </w:p>
    <w:p w14:paraId="2A4B14E5" w14:textId="77777777" w:rsidR="000D23EB" w:rsidRPr="00431B48" w:rsidRDefault="000D23EB">
      <w:pPr>
        <w:pStyle w:val="BodyText"/>
        <w:spacing w:before="2"/>
        <w:rPr>
          <w:sz w:val="28"/>
        </w:rPr>
      </w:pPr>
    </w:p>
    <w:p w14:paraId="09CDBD25" w14:textId="2AC6AAE2" w:rsidR="000D23EB" w:rsidRPr="00431B48" w:rsidRDefault="000122D8" w:rsidP="00431B48">
      <w:pPr>
        <w:pStyle w:val="BodyText"/>
        <w:spacing w:line="295" w:lineRule="auto"/>
        <w:ind w:left="100" w:right="150"/>
        <w:sectPr w:rsidR="000D23EB" w:rsidRPr="00431B48">
          <w:type w:val="continuous"/>
          <w:pgSz w:w="11900" w:h="16840"/>
          <w:pgMar w:top="1180" w:right="1100" w:bottom="1400" w:left="1100" w:header="720" w:footer="720" w:gutter="0"/>
          <w:cols w:num="2" w:space="720" w:equalWidth="0">
            <w:col w:w="1727" w:space="873"/>
            <w:col w:w="7100"/>
          </w:cols>
        </w:sectPr>
      </w:pPr>
      <w:r w:rsidRPr="00431B48">
        <w:t>In the University context, many posts will not require a Disclosure and Barring Service check as University activities are often not provided wholly or mainly for children. All those who</w:t>
      </w:r>
      <w:r w:rsidR="00431B48">
        <w:t xml:space="preserve"> </w:t>
      </w:r>
      <w:r w:rsidR="00431B48" w:rsidRPr="00431B48">
        <w:t>regularly work with children or Adults at Risk should however be made aware of this policy and associated guidance and should attend relevant training (please contact Human Resources for further information about training available).</w:t>
      </w:r>
    </w:p>
    <w:p w14:paraId="3285BE25" w14:textId="77777777" w:rsidR="000D23EB" w:rsidRPr="00431B48" w:rsidRDefault="000D23EB">
      <w:pPr>
        <w:pStyle w:val="BodyText"/>
        <w:rPr>
          <w:sz w:val="20"/>
        </w:rPr>
      </w:pPr>
    </w:p>
    <w:p w14:paraId="4FDC6FA0" w14:textId="77777777" w:rsidR="000D23EB" w:rsidRPr="00431B48" w:rsidRDefault="000D23EB">
      <w:pPr>
        <w:pStyle w:val="BodyText"/>
        <w:spacing w:before="10"/>
        <w:rPr>
          <w:sz w:val="17"/>
        </w:rPr>
      </w:pPr>
    </w:p>
    <w:p w14:paraId="380E4D61" w14:textId="0E47D2E6" w:rsidR="000D23EB" w:rsidRDefault="000D23EB">
      <w:pPr>
        <w:rPr>
          <w:sz w:val="17"/>
        </w:rPr>
      </w:pPr>
    </w:p>
    <w:p w14:paraId="74728CC8" w14:textId="77777777" w:rsidR="00431B48" w:rsidRDefault="00431B48">
      <w:pPr>
        <w:rPr>
          <w:sz w:val="17"/>
        </w:rPr>
      </w:pPr>
    </w:p>
    <w:p w14:paraId="07A8F562" w14:textId="77777777" w:rsidR="00431B48" w:rsidRDefault="00431B48">
      <w:pPr>
        <w:rPr>
          <w:sz w:val="17"/>
        </w:rPr>
      </w:pPr>
    </w:p>
    <w:p w14:paraId="56B33353" w14:textId="17BB4DEB" w:rsidR="00431B48" w:rsidRPr="00431B48" w:rsidRDefault="00431B48">
      <w:pPr>
        <w:rPr>
          <w:sz w:val="17"/>
        </w:rPr>
        <w:sectPr w:rsidR="00431B48" w:rsidRPr="00431B48">
          <w:pgSz w:w="11900" w:h="16840"/>
          <w:pgMar w:top="1180" w:right="1100" w:bottom="1400" w:left="1100" w:header="960" w:footer="1210" w:gutter="0"/>
          <w:cols w:space="720"/>
        </w:sectPr>
      </w:pPr>
    </w:p>
    <w:p w14:paraId="33C4EE11" w14:textId="77777777" w:rsidR="000D23EB" w:rsidRPr="00431B48" w:rsidRDefault="000122D8">
      <w:pPr>
        <w:pStyle w:val="Heading1"/>
        <w:spacing w:before="109" w:line="261" w:lineRule="auto"/>
        <w:ind w:right="38"/>
        <w:jc w:val="both"/>
      </w:pPr>
      <w:r w:rsidRPr="00431B48">
        <w:t xml:space="preserve">Disclosure and Barring </w:t>
      </w:r>
      <w:r w:rsidRPr="00431B48">
        <w:rPr>
          <w:spacing w:val="-3"/>
        </w:rPr>
        <w:t xml:space="preserve">Service </w:t>
      </w:r>
      <w:r w:rsidRPr="00431B48">
        <w:t>(DBS) Checks</w:t>
      </w:r>
    </w:p>
    <w:p w14:paraId="24EDBFC5" w14:textId="77777777" w:rsidR="000D23EB" w:rsidRPr="00431B48" w:rsidRDefault="000D23EB">
      <w:pPr>
        <w:pStyle w:val="BodyText"/>
        <w:rPr>
          <w:b/>
          <w:sz w:val="28"/>
        </w:rPr>
      </w:pPr>
    </w:p>
    <w:p w14:paraId="4FE2A7E1" w14:textId="77777777" w:rsidR="000D23EB" w:rsidRPr="00431B48" w:rsidRDefault="000D23EB">
      <w:pPr>
        <w:pStyle w:val="BodyText"/>
        <w:rPr>
          <w:b/>
          <w:sz w:val="28"/>
        </w:rPr>
      </w:pPr>
    </w:p>
    <w:p w14:paraId="454F4F3C" w14:textId="77777777" w:rsidR="000D23EB" w:rsidRPr="00431B48" w:rsidRDefault="000D23EB">
      <w:pPr>
        <w:pStyle w:val="BodyText"/>
        <w:rPr>
          <w:b/>
          <w:sz w:val="28"/>
        </w:rPr>
      </w:pPr>
    </w:p>
    <w:p w14:paraId="0E9F8B3D" w14:textId="77777777" w:rsidR="000D23EB" w:rsidRPr="00431B48" w:rsidRDefault="000D23EB">
      <w:pPr>
        <w:pStyle w:val="BodyText"/>
        <w:rPr>
          <w:b/>
          <w:sz w:val="28"/>
        </w:rPr>
      </w:pPr>
    </w:p>
    <w:p w14:paraId="19AD5FDB" w14:textId="77777777" w:rsidR="000D23EB" w:rsidRPr="00431B48" w:rsidRDefault="000D23EB">
      <w:pPr>
        <w:pStyle w:val="BodyText"/>
        <w:spacing w:before="4"/>
        <w:rPr>
          <w:b/>
          <w:sz w:val="37"/>
        </w:rPr>
      </w:pPr>
    </w:p>
    <w:p w14:paraId="2B430CFB" w14:textId="77777777" w:rsidR="000D23EB" w:rsidRPr="00431B48" w:rsidRDefault="000122D8">
      <w:pPr>
        <w:spacing w:line="261" w:lineRule="auto"/>
        <w:ind w:left="100"/>
        <w:rPr>
          <w:b/>
          <w:sz w:val="24"/>
        </w:rPr>
      </w:pPr>
      <w:r w:rsidRPr="00431B48">
        <w:rPr>
          <w:b/>
          <w:sz w:val="24"/>
        </w:rPr>
        <w:t>Safeguarding Oﬃcers</w:t>
      </w:r>
    </w:p>
    <w:p w14:paraId="4655CA68" w14:textId="77777777" w:rsidR="000D23EB" w:rsidRPr="00431B48" w:rsidRDefault="000122D8">
      <w:pPr>
        <w:pStyle w:val="BodyText"/>
        <w:spacing w:before="109" w:line="290" w:lineRule="auto"/>
        <w:ind w:left="100" w:right="118"/>
      </w:pPr>
      <w:r w:rsidRPr="00431B48">
        <w:br w:type="column"/>
      </w:r>
      <w:r w:rsidRPr="00431B48">
        <w:t xml:space="preserve">Disclosure and Barring Service (DBS) checks are a search of an individual’s criminal record in order to ascertain if they are </w:t>
      </w:r>
      <w:r w:rsidRPr="00431B48">
        <w:rPr>
          <w:spacing w:val="-3"/>
        </w:rPr>
        <w:t xml:space="preserve">barred </w:t>
      </w:r>
      <w:r w:rsidRPr="00431B48">
        <w:t>from working in any roles that involve Regulated Activity (and therefore require a DBS check). Further information can be found in Guidance Note 2.</w:t>
      </w:r>
    </w:p>
    <w:p w14:paraId="6442CDB9" w14:textId="77777777" w:rsidR="000D23EB" w:rsidRPr="00431B48" w:rsidRDefault="000D23EB">
      <w:pPr>
        <w:pStyle w:val="BodyText"/>
        <w:rPr>
          <w:sz w:val="26"/>
        </w:rPr>
      </w:pPr>
    </w:p>
    <w:p w14:paraId="71DB1928" w14:textId="77777777" w:rsidR="000D23EB" w:rsidRPr="00431B48" w:rsidRDefault="000D23EB">
      <w:pPr>
        <w:pStyle w:val="BodyText"/>
        <w:rPr>
          <w:sz w:val="26"/>
        </w:rPr>
      </w:pPr>
    </w:p>
    <w:p w14:paraId="7D610365" w14:textId="77777777" w:rsidR="000D23EB" w:rsidRPr="00431B48" w:rsidRDefault="000D23EB">
      <w:pPr>
        <w:pStyle w:val="BodyText"/>
        <w:spacing w:before="9"/>
        <w:rPr>
          <w:sz w:val="35"/>
        </w:rPr>
      </w:pPr>
    </w:p>
    <w:p w14:paraId="0DCC413D" w14:textId="77777777" w:rsidR="000D23EB" w:rsidRPr="00431B48" w:rsidRDefault="000122D8">
      <w:pPr>
        <w:pStyle w:val="Heading1"/>
        <w:spacing w:before="1"/>
      </w:pPr>
      <w:r w:rsidRPr="00431B48">
        <w:t>Lead Safeguarding Officer (LSO):</w:t>
      </w:r>
    </w:p>
    <w:p w14:paraId="6FEF8B43" w14:textId="698FBC94" w:rsidR="000D23EB" w:rsidRDefault="000122D8">
      <w:pPr>
        <w:pStyle w:val="BodyText"/>
        <w:spacing w:before="64" w:line="288" w:lineRule="auto"/>
        <w:ind w:left="100" w:right="829"/>
      </w:pPr>
      <w:r w:rsidRPr="00431B48">
        <w:t>The LSO is the Academic Registrar, who has overall accountability and strategic responsibility for safeguarding children and adults at risk within the University.</w:t>
      </w:r>
    </w:p>
    <w:p w14:paraId="4A427792" w14:textId="77777777" w:rsidR="00431B48" w:rsidRPr="00431B48" w:rsidRDefault="00431B48">
      <w:pPr>
        <w:pStyle w:val="BodyText"/>
        <w:spacing w:before="64" w:line="288" w:lineRule="auto"/>
        <w:ind w:left="100" w:right="829"/>
      </w:pPr>
    </w:p>
    <w:p w14:paraId="53BE7BD4" w14:textId="77777777" w:rsidR="000D23EB" w:rsidRPr="00431B48" w:rsidRDefault="000122D8">
      <w:pPr>
        <w:pStyle w:val="Heading1"/>
        <w:spacing w:before="186"/>
      </w:pPr>
      <w:r w:rsidRPr="00431B48">
        <w:t>Principal Safeguarding Officers (PSOs):</w:t>
      </w:r>
    </w:p>
    <w:p w14:paraId="4DA162D6" w14:textId="77777777" w:rsidR="000D23EB" w:rsidRPr="00431B48" w:rsidRDefault="000122D8">
      <w:pPr>
        <w:pStyle w:val="BodyText"/>
        <w:spacing w:before="44" w:line="295" w:lineRule="auto"/>
        <w:ind w:left="100" w:right="363"/>
      </w:pPr>
      <w:r w:rsidRPr="00431B48">
        <w:t>PSOs have responsibility for overseeing the implementation of the Safeguarding Policy within the university and provide leadership and support to Designated Safeguarding Officers.</w:t>
      </w:r>
    </w:p>
    <w:p w14:paraId="43597805" w14:textId="77777777" w:rsidR="000D23EB" w:rsidRPr="00431B48" w:rsidRDefault="000D23EB">
      <w:pPr>
        <w:pStyle w:val="BodyText"/>
        <w:rPr>
          <w:sz w:val="28"/>
        </w:rPr>
      </w:pPr>
    </w:p>
    <w:p w14:paraId="5A5E2E35" w14:textId="72F1F4E7" w:rsidR="000D23EB" w:rsidRDefault="000122D8">
      <w:pPr>
        <w:pStyle w:val="BodyText"/>
        <w:spacing w:line="295" w:lineRule="auto"/>
        <w:ind w:left="100" w:right="264"/>
        <w:jc w:val="both"/>
      </w:pPr>
      <w:r w:rsidRPr="00431B48">
        <w:t>These are the Director of Human Resources in respect of staff, and the Director of Student Support and Wellbeing in respect</w:t>
      </w:r>
      <w:r w:rsidRPr="00431B48">
        <w:rPr>
          <w:spacing w:val="-12"/>
        </w:rPr>
        <w:t xml:space="preserve"> </w:t>
      </w:r>
      <w:r w:rsidRPr="00431B48">
        <w:t>of University</w:t>
      </w:r>
      <w:r w:rsidRPr="00431B48">
        <w:rPr>
          <w:spacing w:val="-1"/>
        </w:rPr>
        <w:t xml:space="preserve"> </w:t>
      </w:r>
      <w:r w:rsidRPr="00431B48">
        <w:t>students.</w:t>
      </w:r>
    </w:p>
    <w:p w14:paraId="474D2C17" w14:textId="77777777" w:rsidR="00431B48" w:rsidRPr="00431B48" w:rsidRDefault="00431B48">
      <w:pPr>
        <w:pStyle w:val="BodyText"/>
        <w:spacing w:line="295" w:lineRule="auto"/>
        <w:ind w:left="100" w:right="264"/>
        <w:jc w:val="both"/>
      </w:pPr>
    </w:p>
    <w:p w14:paraId="6A1F91A6" w14:textId="77777777" w:rsidR="000D23EB" w:rsidRPr="00431B48" w:rsidRDefault="000D23EB">
      <w:pPr>
        <w:pStyle w:val="BodyText"/>
        <w:spacing w:before="11"/>
        <w:rPr>
          <w:sz w:val="27"/>
        </w:rPr>
      </w:pPr>
    </w:p>
    <w:p w14:paraId="58238ACF" w14:textId="77777777" w:rsidR="000D23EB" w:rsidRPr="00431B48" w:rsidRDefault="000122D8">
      <w:pPr>
        <w:pStyle w:val="Heading1"/>
      </w:pPr>
      <w:r w:rsidRPr="00431B48">
        <w:t>Designated Safeguarding Officers (DSOs):</w:t>
      </w:r>
    </w:p>
    <w:p w14:paraId="52D7E478" w14:textId="76A15707" w:rsidR="00431B48" w:rsidRDefault="000122D8" w:rsidP="00431B48">
      <w:pPr>
        <w:pStyle w:val="BodyText"/>
        <w:spacing w:before="64" w:line="290" w:lineRule="auto"/>
        <w:ind w:left="100" w:right="230"/>
      </w:pPr>
      <w:r w:rsidRPr="00431B48">
        <w:t xml:space="preserve">These are officers appointed in Academic Schools and Professional Service departments where there are </w:t>
      </w:r>
      <w:proofErr w:type="spellStart"/>
      <w:r w:rsidRPr="00431B48">
        <w:t>programmes</w:t>
      </w:r>
      <w:proofErr w:type="spellEnd"/>
      <w:r w:rsidRPr="00431B48">
        <w:t xml:space="preserve"> or activities where work is conducted with children and ‘at risk’ adults as part of their roles. One or more DSO will be appointed to take responsibility for safeguarding within that </w:t>
      </w:r>
      <w:proofErr w:type="spellStart"/>
      <w:r w:rsidRPr="00431B48">
        <w:t>programme</w:t>
      </w:r>
      <w:proofErr w:type="spellEnd"/>
      <w:r w:rsidRPr="00431B48">
        <w:t xml:space="preserve"> or</w:t>
      </w:r>
      <w:r w:rsidR="00431B48" w:rsidRPr="00431B48">
        <w:t xml:space="preserve"> activity.</w:t>
      </w:r>
      <w:r w:rsidR="00431B48">
        <w:t xml:space="preserve"> </w:t>
      </w:r>
      <w:r w:rsidR="00431B48" w:rsidRPr="00431B48">
        <w:t xml:space="preserve">The DSO will normally be the </w:t>
      </w:r>
      <w:proofErr w:type="spellStart"/>
      <w:r w:rsidR="00431B48" w:rsidRPr="00431B48">
        <w:t>organiser</w:t>
      </w:r>
      <w:proofErr w:type="spellEnd"/>
      <w:r w:rsidR="00431B48" w:rsidRPr="00431B48">
        <w:t xml:space="preserve"> or coordinator of the </w:t>
      </w:r>
      <w:proofErr w:type="spellStart"/>
      <w:r w:rsidR="00431B48" w:rsidRPr="00431B48">
        <w:t>programme</w:t>
      </w:r>
      <w:proofErr w:type="spellEnd"/>
      <w:r w:rsidR="00431B48" w:rsidRPr="00431B48">
        <w:t xml:space="preserve"> or activity. Depending on the scale of activity there may be one or more nominated.</w:t>
      </w:r>
    </w:p>
    <w:p w14:paraId="26949E3B" w14:textId="77777777" w:rsidR="00431B48" w:rsidRDefault="00431B48" w:rsidP="00431B48">
      <w:pPr>
        <w:pStyle w:val="BodyText"/>
        <w:spacing w:before="64" w:line="290" w:lineRule="auto"/>
        <w:ind w:left="100" w:right="230"/>
      </w:pPr>
    </w:p>
    <w:p w14:paraId="2AA16D09" w14:textId="77777777" w:rsidR="00431B48" w:rsidRDefault="00431B48" w:rsidP="00431B48">
      <w:pPr>
        <w:pStyle w:val="BodyText"/>
        <w:spacing w:before="64" w:line="290" w:lineRule="auto"/>
        <w:ind w:left="100" w:right="230"/>
      </w:pPr>
    </w:p>
    <w:p w14:paraId="7F43126D" w14:textId="4B26CD5E" w:rsidR="00431B48" w:rsidRPr="00431B48" w:rsidRDefault="00431B48" w:rsidP="00431B48">
      <w:pPr>
        <w:pStyle w:val="BodyText"/>
        <w:spacing w:before="64" w:line="290" w:lineRule="auto"/>
        <w:ind w:left="100" w:right="230"/>
        <w:rPr>
          <w:b/>
          <w:bCs/>
        </w:rPr>
      </w:pPr>
      <w:r w:rsidRPr="00431B48">
        <w:rPr>
          <w:b/>
          <w:bCs/>
        </w:rPr>
        <w:t>Deputy Designated Safeguarding Officer (DDSO):</w:t>
      </w:r>
    </w:p>
    <w:p w14:paraId="654EBDE1" w14:textId="170393A0" w:rsidR="00431B48" w:rsidRPr="00431B48" w:rsidRDefault="00431B48" w:rsidP="00431B48">
      <w:pPr>
        <w:pStyle w:val="BodyText"/>
        <w:spacing w:before="64" w:line="290" w:lineRule="auto"/>
        <w:ind w:left="100" w:right="230"/>
        <w:sectPr w:rsidR="00431B48" w:rsidRPr="00431B48">
          <w:type w:val="continuous"/>
          <w:pgSz w:w="11900" w:h="16840"/>
          <w:pgMar w:top="1180" w:right="1100" w:bottom="1400" w:left="1100" w:header="720" w:footer="720" w:gutter="0"/>
          <w:cols w:num="2" w:space="720" w:equalWidth="0">
            <w:col w:w="1901" w:space="699"/>
            <w:col w:w="7100"/>
          </w:cols>
        </w:sectPr>
      </w:pPr>
      <w:r>
        <w:t>A DDSO is appointed to support the DSO and may be the first point of contact for activity involving children/adults at risk.</w:t>
      </w:r>
    </w:p>
    <w:p w14:paraId="45E9B626" w14:textId="3C707779" w:rsidR="000D23EB" w:rsidRDefault="000D23EB">
      <w:pPr>
        <w:pStyle w:val="BodyText"/>
        <w:spacing w:before="10"/>
        <w:rPr>
          <w:sz w:val="27"/>
        </w:rPr>
      </w:pPr>
    </w:p>
    <w:p w14:paraId="41A41F45" w14:textId="77777777" w:rsidR="00431B48" w:rsidRDefault="00431B48">
      <w:pPr>
        <w:pStyle w:val="BodyText"/>
        <w:spacing w:before="10"/>
        <w:rPr>
          <w:sz w:val="27"/>
        </w:rPr>
      </w:pPr>
    </w:p>
    <w:p w14:paraId="5AEBED93" w14:textId="77777777" w:rsidR="00431B48" w:rsidRPr="00431B48" w:rsidRDefault="00431B48">
      <w:pPr>
        <w:pStyle w:val="BodyText"/>
        <w:spacing w:before="10"/>
        <w:rPr>
          <w:sz w:val="27"/>
        </w:rPr>
      </w:pPr>
    </w:p>
    <w:p w14:paraId="31FD98F0" w14:textId="77777777" w:rsidR="000D23EB" w:rsidRPr="00431B48" w:rsidRDefault="000122D8">
      <w:pPr>
        <w:pStyle w:val="Heading1"/>
        <w:ind w:left="2700"/>
      </w:pPr>
      <w:r w:rsidRPr="00431B48">
        <w:t>Research DSO:</w:t>
      </w:r>
    </w:p>
    <w:p w14:paraId="68E0ED73" w14:textId="77777777" w:rsidR="000D23EB" w:rsidRPr="00431B48" w:rsidRDefault="000122D8">
      <w:pPr>
        <w:pStyle w:val="BodyText"/>
        <w:spacing w:before="65" w:line="288" w:lineRule="auto"/>
        <w:ind w:left="2700" w:right="301"/>
        <w:jc w:val="both"/>
      </w:pPr>
      <w:r w:rsidRPr="00431B48">
        <w:t>For research activities it will be the responsibility of the Head of School to ensure that a Designated Officer is appointed for any research activities involving children or adults at risk.</w:t>
      </w:r>
    </w:p>
    <w:p w14:paraId="180252CF" w14:textId="77777777" w:rsidR="000D23EB" w:rsidRPr="00431B48" w:rsidRDefault="000D23EB">
      <w:pPr>
        <w:pStyle w:val="BodyText"/>
        <w:spacing w:before="1"/>
        <w:rPr>
          <w:sz w:val="30"/>
        </w:rPr>
      </w:pPr>
    </w:p>
    <w:p w14:paraId="2C2F969B" w14:textId="584253B6" w:rsidR="000D23EB" w:rsidRDefault="000122D8">
      <w:pPr>
        <w:pStyle w:val="BodyText"/>
        <w:spacing w:line="290" w:lineRule="auto"/>
        <w:ind w:left="2700" w:right="517"/>
      </w:pPr>
      <w:r w:rsidRPr="00431B48">
        <w:t xml:space="preserve">The Designated Officer will usually be the person with </w:t>
      </w:r>
      <w:r w:rsidRPr="00431B48">
        <w:rPr>
          <w:spacing w:val="-3"/>
        </w:rPr>
        <w:t xml:space="preserve">overall </w:t>
      </w:r>
      <w:r w:rsidRPr="00431B48">
        <w:t>responsibility for the activity (e.g. Principal Officer). The Designated Officer may appoint a Deputy Designated Safeguarding Officer (DDSO) who is involved in day-to-day activity to support the</w:t>
      </w:r>
      <w:r w:rsidRPr="00431B48">
        <w:rPr>
          <w:spacing w:val="-2"/>
        </w:rPr>
        <w:t xml:space="preserve"> </w:t>
      </w:r>
      <w:r w:rsidRPr="00431B48">
        <w:t>DSO.</w:t>
      </w:r>
    </w:p>
    <w:p w14:paraId="03924649" w14:textId="77777777" w:rsidR="00431B48" w:rsidRPr="00431B48" w:rsidRDefault="00431B48">
      <w:pPr>
        <w:pStyle w:val="BodyText"/>
        <w:spacing w:line="290" w:lineRule="auto"/>
        <w:ind w:left="2700" w:right="517"/>
      </w:pPr>
    </w:p>
    <w:p w14:paraId="38B1961F" w14:textId="77777777" w:rsidR="000D23EB" w:rsidRPr="00431B48" w:rsidRDefault="000D23EB">
      <w:pPr>
        <w:pStyle w:val="BodyText"/>
        <w:spacing w:before="8"/>
        <w:rPr>
          <w:sz w:val="28"/>
        </w:rPr>
      </w:pPr>
    </w:p>
    <w:p w14:paraId="0FD8E6A0" w14:textId="7C90FFDC" w:rsidR="000D23EB" w:rsidRDefault="000122D8">
      <w:pPr>
        <w:pStyle w:val="Heading1"/>
        <w:spacing w:line="295" w:lineRule="auto"/>
        <w:ind w:left="2700" w:right="710"/>
      </w:pPr>
      <w:r w:rsidRPr="00431B48">
        <w:t xml:space="preserve">The responsibilities of all Safeguarding Officers can </w:t>
      </w:r>
      <w:r w:rsidRPr="00431B48">
        <w:rPr>
          <w:spacing w:val="-6"/>
        </w:rPr>
        <w:t xml:space="preserve">be </w:t>
      </w:r>
      <w:r w:rsidRPr="00431B48">
        <w:t>found in Guidance Note</w:t>
      </w:r>
      <w:r w:rsidRPr="00431B48">
        <w:rPr>
          <w:spacing w:val="-3"/>
        </w:rPr>
        <w:t xml:space="preserve"> </w:t>
      </w:r>
      <w:r w:rsidR="00431B48" w:rsidRPr="00431B48">
        <w:t>2</w:t>
      </w:r>
    </w:p>
    <w:p w14:paraId="64C442C4" w14:textId="77777777" w:rsidR="00431B48" w:rsidRPr="00431B48" w:rsidRDefault="00431B48">
      <w:pPr>
        <w:pStyle w:val="BodyText"/>
        <w:rPr>
          <w:b/>
          <w:sz w:val="20"/>
        </w:rPr>
      </w:pPr>
    </w:p>
    <w:p w14:paraId="3A14043A" w14:textId="77777777" w:rsidR="000D23EB" w:rsidRPr="00431B48" w:rsidRDefault="000D23EB">
      <w:pPr>
        <w:pStyle w:val="BodyText"/>
        <w:spacing w:before="1"/>
        <w:rPr>
          <w:b/>
          <w:sz w:val="19"/>
        </w:rPr>
      </w:pPr>
    </w:p>
    <w:p w14:paraId="2CF2F625" w14:textId="77777777" w:rsidR="000D23EB" w:rsidRPr="00431B48" w:rsidRDefault="000D23EB">
      <w:pPr>
        <w:rPr>
          <w:sz w:val="19"/>
        </w:rPr>
        <w:sectPr w:rsidR="000D23EB" w:rsidRPr="00431B48">
          <w:pgSz w:w="11900" w:h="16840"/>
          <w:pgMar w:top="1180" w:right="1100" w:bottom="1400" w:left="1100" w:header="960" w:footer="1210" w:gutter="0"/>
          <w:cols w:space="720"/>
        </w:sectPr>
      </w:pPr>
    </w:p>
    <w:p w14:paraId="6EE46EC1" w14:textId="288C37FE" w:rsidR="00431B48" w:rsidRPr="00431B48" w:rsidRDefault="00431B48" w:rsidP="00431B48">
      <w:pPr>
        <w:spacing w:before="112"/>
        <w:ind w:left="100"/>
        <w:rPr>
          <w:b/>
          <w:sz w:val="24"/>
        </w:rPr>
      </w:pPr>
      <w:bookmarkStart w:id="1" w:name="_Hlk33172259"/>
      <w:r w:rsidRPr="00431B48">
        <w:rPr>
          <w:b/>
          <w:sz w:val="24"/>
        </w:rPr>
        <w:t>Abuse</w:t>
      </w:r>
    </w:p>
    <w:p w14:paraId="79B87CEF" w14:textId="77777777" w:rsidR="00431B48" w:rsidRDefault="00431B48" w:rsidP="00431B48">
      <w:pPr>
        <w:spacing w:before="112"/>
        <w:ind w:left="100"/>
        <w:rPr>
          <w:b/>
          <w:sz w:val="24"/>
        </w:rPr>
      </w:pPr>
    </w:p>
    <w:p w14:paraId="013B69A4" w14:textId="0F8C61B2" w:rsidR="00431B48" w:rsidRDefault="00431B48" w:rsidP="00431B48">
      <w:pPr>
        <w:spacing w:before="112"/>
        <w:ind w:left="100"/>
        <w:rPr>
          <w:b/>
          <w:sz w:val="24"/>
        </w:rPr>
      </w:pPr>
    </w:p>
    <w:p w14:paraId="2A42D2CA" w14:textId="77777777" w:rsidR="00431B48" w:rsidRDefault="00431B48" w:rsidP="00431B48">
      <w:pPr>
        <w:spacing w:before="112"/>
        <w:ind w:left="100"/>
        <w:rPr>
          <w:b/>
          <w:sz w:val="24"/>
        </w:rPr>
      </w:pPr>
    </w:p>
    <w:p w14:paraId="0DB2F13C" w14:textId="77777777" w:rsidR="00431B48" w:rsidRDefault="00431B48" w:rsidP="00431B48">
      <w:pPr>
        <w:spacing w:before="112"/>
        <w:ind w:left="100"/>
        <w:rPr>
          <w:b/>
          <w:sz w:val="24"/>
        </w:rPr>
      </w:pPr>
    </w:p>
    <w:p w14:paraId="5523E6B0" w14:textId="77777777" w:rsidR="00431B48" w:rsidRDefault="00431B48" w:rsidP="00431B48">
      <w:pPr>
        <w:spacing w:before="112"/>
        <w:ind w:left="100"/>
        <w:rPr>
          <w:b/>
          <w:sz w:val="24"/>
        </w:rPr>
      </w:pPr>
    </w:p>
    <w:p w14:paraId="424D8764" w14:textId="77777777" w:rsidR="00431B48" w:rsidRDefault="00431B48" w:rsidP="00431B48">
      <w:pPr>
        <w:spacing w:before="112"/>
        <w:ind w:left="100"/>
        <w:rPr>
          <w:b/>
          <w:sz w:val="24"/>
        </w:rPr>
      </w:pPr>
    </w:p>
    <w:p w14:paraId="1B2A7889" w14:textId="77777777" w:rsidR="00431B48" w:rsidRDefault="00431B48" w:rsidP="00431B48">
      <w:pPr>
        <w:spacing w:before="112"/>
        <w:ind w:left="100"/>
        <w:rPr>
          <w:b/>
          <w:sz w:val="24"/>
        </w:rPr>
      </w:pPr>
    </w:p>
    <w:p w14:paraId="1EFA059C" w14:textId="77777777" w:rsidR="00431B48" w:rsidRDefault="00431B48" w:rsidP="00431B48">
      <w:pPr>
        <w:spacing w:before="112"/>
        <w:ind w:left="100"/>
        <w:rPr>
          <w:b/>
          <w:sz w:val="24"/>
        </w:rPr>
      </w:pPr>
    </w:p>
    <w:bookmarkEnd w:id="1"/>
    <w:p w14:paraId="5D79519B" w14:textId="178C9700" w:rsidR="000D23EB" w:rsidRPr="00431B48" w:rsidRDefault="0061760B" w:rsidP="00431B48">
      <w:pPr>
        <w:spacing w:before="112"/>
        <w:ind w:left="100"/>
      </w:pPr>
      <w:r>
        <w:rPr>
          <w:b/>
          <w:noProof/>
          <w:sz w:val="24"/>
        </w:rPr>
        <w:pict w14:anchorId="3C502C0E">
          <v:shapetype id="_x0000_t202" coordsize="21600,21600" o:spt="202" path="m,l,21600r21600,l21600,xe">
            <v:stroke joinstyle="miter"/>
            <v:path gradientshapeok="t" o:connecttype="rect"/>
          </v:shapetype>
          <v:shape id="Text Box 2" o:spid="_x0000_s2052" type="#_x0000_t202" style="position:absolute;left:0;text-align:left;margin-left:-8.75pt;margin-top:14.8pt;width:113.7pt;height:21pt;z-index:25165875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2219C20B" w14:textId="2940880E" w:rsidR="00431B48" w:rsidRPr="00431B48" w:rsidRDefault="00A81345" w:rsidP="00431B48">
                  <w:pPr>
                    <w:rPr>
                      <w:b/>
                      <w:bCs/>
                      <w:sz w:val="24"/>
                      <w:szCs w:val="24"/>
                    </w:rPr>
                  </w:pPr>
                  <w:r>
                    <w:rPr>
                      <w:b/>
                      <w:bCs/>
                      <w:sz w:val="24"/>
                      <w:szCs w:val="24"/>
                    </w:rPr>
                    <w:t>Physical</w:t>
                  </w:r>
                  <w:r w:rsidR="00431B48" w:rsidRPr="00431B48">
                    <w:rPr>
                      <w:b/>
                      <w:bCs/>
                      <w:sz w:val="24"/>
                      <w:szCs w:val="24"/>
                    </w:rPr>
                    <w:t xml:space="preserve"> Abuse</w:t>
                  </w:r>
                </w:p>
              </w:txbxContent>
            </v:textbox>
            <w10:wrap type="square"/>
          </v:shape>
        </w:pict>
      </w:r>
      <w:r w:rsidR="000122D8" w:rsidRPr="00431B48">
        <w:br w:type="column"/>
      </w:r>
      <w:r w:rsidR="000122D8" w:rsidRPr="00431B48">
        <w:rPr>
          <w:sz w:val="24"/>
          <w:szCs w:val="24"/>
        </w:rPr>
        <w:t>Section 197(1) of the Social Services and Well-Being (Wales) Act 2014 provides definitions of abuse and neglect.</w:t>
      </w:r>
    </w:p>
    <w:p w14:paraId="123C966E" w14:textId="77777777" w:rsidR="000D23EB" w:rsidRPr="00431B48" w:rsidRDefault="000D23EB">
      <w:pPr>
        <w:pStyle w:val="BodyText"/>
        <w:spacing w:before="10"/>
        <w:rPr>
          <w:sz w:val="27"/>
        </w:rPr>
      </w:pPr>
    </w:p>
    <w:p w14:paraId="3963BBC0" w14:textId="77777777" w:rsidR="000D23EB" w:rsidRPr="00431B48" w:rsidRDefault="000122D8">
      <w:pPr>
        <w:pStyle w:val="BodyText"/>
        <w:spacing w:before="1" w:line="288" w:lineRule="auto"/>
        <w:ind w:left="100" w:right="348"/>
      </w:pPr>
      <w:r w:rsidRPr="00431B48">
        <w:t>‘Abuse’ means physical, sexual, psychological, emotional or financial abuse and includes abuse taking place in any setting, whether in a private dwelling, an institution or any other place.</w:t>
      </w:r>
    </w:p>
    <w:p w14:paraId="42267AA9" w14:textId="77777777" w:rsidR="000D23EB" w:rsidRPr="00431B48" w:rsidRDefault="000D23EB">
      <w:pPr>
        <w:pStyle w:val="BodyText"/>
        <w:spacing w:before="1"/>
        <w:rPr>
          <w:sz w:val="30"/>
        </w:rPr>
      </w:pPr>
    </w:p>
    <w:p w14:paraId="792AADFF" w14:textId="00575E08" w:rsidR="000D23EB" w:rsidRDefault="000122D8" w:rsidP="00431B48">
      <w:pPr>
        <w:pStyle w:val="BodyText"/>
        <w:ind w:left="100"/>
      </w:pPr>
      <w:r w:rsidRPr="00431B48">
        <w:t>The following is a non-exhaustive list of examples for each of the</w:t>
      </w:r>
      <w:r w:rsidR="00431B48" w:rsidRPr="00431B48">
        <w:t xml:space="preserve"> categories of abuse and neglect</w:t>
      </w:r>
      <w:r w:rsidR="00431B48">
        <w:t>.</w:t>
      </w:r>
    </w:p>
    <w:p w14:paraId="314C2AEF" w14:textId="5217E1DF" w:rsidR="00A81345" w:rsidRDefault="00A81345" w:rsidP="00431B48">
      <w:pPr>
        <w:pStyle w:val="BodyText"/>
        <w:ind w:left="100"/>
      </w:pPr>
    </w:p>
    <w:p w14:paraId="79411A0D" w14:textId="51915018" w:rsidR="00A81345" w:rsidRDefault="00A81345" w:rsidP="00431B48">
      <w:pPr>
        <w:pStyle w:val="BodyText"/>
        <w:ind w:left="100"/>
      </w:pPr>
    </w:p>
    <w:p w14:paraId="4EBA8DCC" w14:textId="65DEA638" w:rsidR="00A81345" w:rsidRDefault="00A81345" w:rsidP="00431B48">
      <w:pPr>
        <w:pStyle w:val="BodyText"/>
        <w:ind w:left="100"/>
      </w:pPr>
    </w:p>
    <w:p w14:paraId="299BADC1" w14:textId="77777777" w:rsidR="00A81345" w:rsidRDefault="00A81345" w:rsidP="00431B48">
      <w:pPr>
        <w:pStyle w:val="BodyText"/>
        <w:ind w:left="100"/>
      </w:pPr>
    </w:p>
    <w:p w14:paraId="7DDEF583" w14:textId="21BDE8CA" w:rsidR="00431B48" w:rsidRPr="00431B48" w:rsidRDefault="00A81345" w:rsidP="00A81345">
      <w:pPr>
        <w:pStyle w:val="BodyText"/>
        <w:spacing w:before="1" w:line="288" w:lineRule="auto"/>
        <w:ind w:left="100" w:right="348"/>
        <w:sectPr w:rsidR="00431B48" w:rsidRPr="00431B48">
          <w:type w:val="continuous"/>
          <w:pgSz w:w="11900" w:h="16840"/>
          <w:pgMar w:top="1180" w:right="1100" w:bottom="1400" w:left="1100" w:header="720" w:footer="720" w:gutter="0"/>
          <w:cols w:num="2" w:space="720" w:equalWidth="0">
            <w:col w:w="861" w:space="1739"/>
            <w:col w:w="7100"/>
          </w:cols>
        </w:sectPr>
      </w:pPr>
      <w:r w:rsidRPr="00A81345">
        <w:t>May include hitting, slapping, overuse or misuse of medication, acts of undue restraint or inappropriate sanctions. May also include threats of harm or abandonment, humiliation, verbal or racial abuse, isolation or withdrawal from services or supportive networks, or coercive control (an act or pattern of acts of assault, threats, humiliation, intimidation or other abuse that is used to harm, punish or frighten the victim).</w:t>
      </w:r>
    </w:p>
    <w:p w14:paraId="34D79725" w14:textId="77777777" w:rsidR="000D23EB" w:rsidRPr="00431B48" w:rsidRDefault="000D23EB">
      <w:pPr>
        <w:rPr>
          <w:sz w:val="21"/>
        </w:rPr>
        <w:sectPr w:rsidR="000D23EB" w:rsidRPr="00431B48">
          <w:pgSz w:w="11900" w:h="16840"/>
          <w:pgMar w:top="1180" w:right="1100" w:bottom="1400" w:left="1100" w:header="960" w:footer="1210" w:gutter="0"/>
          <w:cols w:space="720"/>
        </w:sectPr>
      </w:pPr>
    </w:p>
    <w:p w14:paraId="4DCE2921" w14:textId="77777777" w:rsidR="000D23EB" w:rsidRPr="00431B48" w:rsidRDefault="000122D8" w:rsidP="00431B48">
      <w:pPr>
        <w:pStyle w:val="Heading1"/>
        <w:spacing w:before="109"/>
        <w:ind w:left="0"/>
      </w:pPr>
      <w:bookmarkStart w:id="2" w:name="_Hlk33171962"/>
      <w:r w:rsidRPr="00431B48">
        <w:t>Financial Abuse</w:t>
      </w:r>
    </w:p>
    <w:bookmarkEnd w:id="2"/>
    <w:p w14:paraId="790CA3C9" w14:textId="77777777" w:rsidR="000D23EB" w:rsidRPr="00431B48" w:rsidRDefault="000122D8">
      <w:pPr>
        <w:pStyle w:val="ListParagraph"/>
        <w:numPr>
          <w:ilvl w:val="0"/>
          <w:numId w:val="1"/>
        </w:numPr>
        <w:tabs>
          <w:tab w:val="left" w:pos="251"/>
        </w:tabs>
        <w:spacing w:before="109"/>
        <w:ind w:left="250"/>
        <w:rPr>
          <w:sz w:val="24"/>
        </w:rPr>
      </w:pPr>
      <w:r w:rsidRPr="00431B48">
        <w:rPr>
          <w:spacing w:val="-1"/>
          <w:sz w:val="24"/>
        </w:rPr>
        <w:br w:type="column"/>
      </w:r>
      <w:r w:rsidRPr="00431B48">
        <w:rPr>
          <w:sz w:val="24"/>
        </w:rPr>
        <w:t>Having money or other property</w:t>
      </w:r>
      <w:r w:rsidRPr="00431B48">
        <w:rPr>
          <w:spacing w:val="-3"/>
          <w:sz w:val="24"/>
        </w:rPr>
        <w:t xml:space="preserve"> </w:t>
      </w:r>
      <w:r w:rsidRPr="00431B48">
        <w:rPr>
          <w:sz w:val="24"/>
        </w:rPr>
        <w:t>stolen</w:t>
      </w:r>
    </w:p>
    <w:p w14:paraId="74F45D30" w14:textId="77777777" w:rsidR="000D23EB" w:rsidRPr="00431B48" w:rsidRDefault="000122D8">
      <w:pPr>
        <w:pStyle w:val="ListParagraph"/>
        <w:numPr>
          <w:ilvl w:val="0"/>
          <w:numId w:val="1"/>
        </w:numPr>
        <w:tabs>
          <w:tab w:val="left" w:pos="251"/>
        </w:tabs>
        <w:spacing w:before="224"/>
        <w:ind w:left="250"/>
        <w:rPr>
          <w:sz w:val="24"/>
        </w:rPr>
      </w:pPr>
      <w:r w:rsidRPr="00431B48">
        <w:rPr>
          <w:sz w:val="24"/>
        </w:rPr>
        <w:t>Being</w:t>
      </w:r>
      <w:r w:rsidRPr="00431B48">
        <w:rPr>
          <w:spacing w:val="-1"/>
          <w:sz w:val="24"/>
        </w:rPr>
        <w:t xml:space="preserve"> </w:t>
      </w:r>
      <w:r w:rsidRPr="00431B48">
        <w:rPr>
          <w:sz w:val="24"/>
        </w:rPr>
        <w:t>defrauded</w:t>
      </w:r>
    </w:p>
    <w:p w14:paraId="5DA7EE5A" w14:textId="77777777" w:rsidR="000D23EB" w:rsidRPr="00431B48" w:rsidRDefault="000D23EB">
      <w:pPr>
        <w:pStyle w:val="BodyText"/>
        <w:spacing w:before="3"/>
        <w:rPr>
          <w:sz w:val="21"/>
        </w:rPr>
      </w:pPr>
    </w:p>
    <w:p w14:paraId="0E6FCC8A" w14:textId="77777777" w:rsidR="000D23EB" w:rsidRPr="00431B48" w:rsidRDefault="000122D8">
      <w:pPr>
        <w:pStyle w:val="ListParagraph"/>
        <w:numPr>
          <w:ilvl w:val="0"/>
          <w:numId w:val="1"/>
        </w:numPr>
        <w:tabs>
          <w:tab w:val="left" w:pos="251"/>
        </w:tabs>
        <w:ind w:left="250"/>
        <w:rPr>
          <w:sz w:val="24"/>
        </w:rPr>
      </w:pPr>
      <w:r w:rsidRPr="00431B48">
        <w:rPr>
          <w:sz w:val="24"/>
        </w:rPr>
        <w:t>Being put under pressure in relation to money or other</w:t>
      </w:r>
      <w:r w:rsidRPr="00431B48">
        <w:rPr>
          <w:spacing w:val="-5"/>
          <w:sz w:val="24"/>
        </w:rPr>
        <w:t xml:space="preserve"> </w:t>
      </w:r>
      <w:r w:rsidRPr="00431B48">
        <w:rPr>
          <w:sz w:val="24"/>
        </w:rPr>
        <w:t>property</w:t>
      </w:r>
    </w:p>
    <w:p w14:paraId="72067570" w14:textId="77777777" w:rsidR="000D23EB" w:rsidRPr="00431B48" w:rsidRDefault="000D23EB">
      <w:pPr>
        <w:pStyle w:val="BodyText"/>
        <w:spacing w:before="2"/>
        <w:rPr>
          <w:sz w:val="21"/>
        </w:rPr>
      </w:pPr>
    </w:p>
    <w:p w14:paraId="7CD44970" w14:textId="77777777" w:rsidR="000D23EB" w:rsidRPr="00431B48" w:rsidRDefault="000122D8">
      <w:pPr>
        <w:pStyle w:val="ListParagraph"/>
        <w:numPr>
          <w:ilvl w:val="0"/>
          <w:numId w:val="1"/>
        </w:numPr>
        <w:tabs>
          <w:tab w:val="left" w:pos="251"/>
        </w:tabs>
        <w:ind w:left="250"/>
        <w:rPr>
          <w:sz w:val="24"/>
        </w:rPr>
      </w:pPr>
      <w:r w:rsidRPr="00431B48">
        <w:rPr>
          <w:sz w:val="24"/>
        </w:rPr>
        <w:t>Having money or other property</w:t>
      </w:r>
      <w:r w:rsidRPr="00431B48">
        <w:rPr>
          <w:spacing w:val="-3"/>
          <w:sz w:val="24"/>
        </w:rPr>
        <w:t xml:space="preserve"> </w:t>
      </w:r>
      <w:r w:rsidRPr="00431B48">
        <w:rPr>
          <w:sz w:val="24"/>
        </w:rPr>
        <w:t>misused</w:t>
      </w:r>
    </w:p>
    <w:p w14:paraId="77124259" w14:textId="77777777" w:rsidR="000D23EB" w:rsidRPr="00431B48" w:rsidRDefault="000D23EB">
      <w:pPr>
        <w:pStyle w:val="BodyText"/>
        <w:spacing w:before="5"/>
        <w:rPr>
          <w:sz w:val="33"/>
        </w:rPr>
      </w:pPr>
    </w:p>
    <w:p w14:paraId="1288497F" w14:textId="77777777" w:rsidR="000D23EB" w:rsidRPr="00431B48" w:rsidRDefault="000122D8">
      <w:pPr>
        <w:pStyle w:val="BodyText"/>
        <w:spacing w:line="295" w:lineRule="auto"/>
        <w:ind w:left="100" w:right="669"/>
      </w:pPr>
      <w:r w:rsidRPr="00431B48">
        <w:t>Signs of financial abuse in relation to people who may have needs for care and support may include:</w:t>
      </w:r>
    </w:p>
    <w:p w14:paraId="117835AD" w14:textId="77777777" w:rsidR="000D23EB" w:rsidRPr="00431B48" w:rsidRDefault="000122D8">
      <w:pPr>
        <w:pStyle w:val="ListParagraph"/>
        <w:numPr>
          <w:ilvl w:val="0"/>
          <w:numId w:val="1"/>
        </w:numPr>
        <w:tabs>
          <w:tab w:val="left" w:pos="360"/>
        </w:tabs>
        <w:spacing w:before="181"/>
        <w:ind w:left="360" w:hanging="260"/>
        <w:rPr>
          <w:color w:val="808785"/>
          <w:sz w:val="24"/>
        </w:rPr>
      </w:pPr>
      <w:r w:rsidRPr="00431B48">
        <w:rPr>
          <w:sz w:val="24"/>
        </w:rPr>
        <w:t>Unexpected change to their</w:t>
      </w:r>
      <w:r w:rsidRPr="00431B48">
        <w:rPr>
          <w:spacing w:val="-2"/>
          <w:sz w:val="24"/>
        </w:rPr>
        <w:t xml:space="preserve"> </w:t>
      </w:r>
      <w:r w:rsidRPr="00431B48">
        <w:rPr>
          <w:sz w:val="24"/>
        </w:rPr>
        <w:t>will</w:t>
      </w:r>
    </w:p>
    <w:p w14:paraId="4BAFEB97" w14:textId="77777777" w:rsidR="000D23EB" w:rsidRPr="00431B48" w:rsidRDefault="000122D8">
      <w:pPr>
        <w:pStyle w:val="ListParagraph"/>
        <w:numPr>
          <w:ilvl w:val="0"/>
          <w:numId w:val="1"/>
        </w:numPr>
        <w:tabs>
          <w:tab w:val="left" w:pos="360"/>
        </w:tabs>
        <w:spacing w:before="224"/>
        <w:ind w:left="360" w:hanging="260"/>
        <w:rPr>
          <w:color w:val="808785"/>
          <w:sz w:val="24"/>
        </w:rPr>
      </w:pPr>
      <w:r w:rsidRPr="00431B48">
        <w:rPr>
          <w:sz w:val="24"/>
        </w:rPr>
        <w:t>Sudden sale or transfer of the</w:t>
      </w:r>
      <w:r w:rsidRPr="00431B48">
        <w:rPr>
          <w:spacing w:val="-4"/>
          <w:sz w:val="24"/>
        </w:rPr>
        <w:t xml:space="preserve"> </w:t>
      </w:r>
      <w:r w:rsidRPr="00431B48">
        <w:rPr>
          <w:sz w:val="24"/>
        </w:rPr>
        <w:t>home</w:t>
      </w:r>
    </w:p>
    <w:p w14:paraId="36EDCD1B" w14:textId="77777777" w:rsidR="000D23EB" w:rsidRPr="00431B48" w:rsidRDefault="000D23EB">
      <w:pPr>
        <w:pStyle w:val="BodyText"/>
        <w:spacing w:before="2"/>
        <w:rPr>
          <w:sz w:val="21"/>
        </w:rPr>
      </w:pPr>
    </w:p>
    <w:p w14:paraId="5BE26910" w14:textId="77777777" w:rsidR="000D23EB" w:rsidRPr="00431B48" w:rsidRDefault="000122D8">
      <w:pPr>
        <w:pStyle w:val="ListParagraph"/>
        <w:numPr>
          <w:ilvl w:val="0"/>
          <w:numId w:val="1"/>
        </w:numPr>
        <w:tabs>
          <w:tab w:val="left" w:pos="360"/>
        </w:tabs>
        <w:spacing w:before="1"/>
        <w:ind w:left="360" w:hanging="260"/>
        <w:rPr>
          <w:color w:val="808785"/>
          <w:sz w:val="24"/>
        </w:rPr>
      </w:pPr>
      <w:r w:rsidRPr="00431B48">
        <w:rPr>
          <w:sz w:val="24"/>
        </w:rPr>
        <w:t>Unusual activity in a bank</w:t>
      </w:r>
      <w:r w:rsidRPr="00431B48">
        <w:rPr>
          <w:spacing w:val="-1"/>
          <w:sz w:val="24"/>
        </w:rPr>
        <w:t xml:space="preserve"> </w:t>
      </w:r>
      <w:r w:rsidRPr="00431B48">
        <w:rPr>
          <w:sz w:val="24"/>
        </w:rPr>
        <w:t>account</w:t>
      </w:r>
    </w:p>
    <w:p w14:paraId="17E56601" w14:textId="77777777" w:rsidR="000D23EB" w:rsidRPr="00431B48" w:rsidRDefault="000D23EB">
      <w:pPr>
        <w:pStyle w:val="BodyText"/>
        <w:spacing w:before="2"/>
        <w:rPr>
          <w:sz w:val="21"/>
        </w:rPr>
      </w:pPr>
    </w:p>
    <w:p w14:paraId="5686EA03" w14:textId="77777777" w:rsidR="000D23EB" w:rsidRPr="00431B48" w:rsidRDefault="000122D8">
      <w:pPr>
        <w:pStyle w:val="ListParagraph"/>
        <w:numPr>
          <w:ilvl w:val="0"/>
          <w:numId w:val="1"/>
        </w:numPr>
        <w:tabs>
          <w:tab w:val="left" w:pos="360"/>
        </w:tabs>
        <w:ind w:left="360" w:hanging="260"/>
        <w:rPr>
          <w:color w:val="808785"/>
          <w:sz w:val="24"/>
        </w:rPr>
      </w:pPr>
      <w:r w:rsidRPr="00431B48">
        <w:rPr>
          <w:sz w:val="24"/>
        </w:rPr>
        <w:t>Sudden inclusion of additional names on a bank</w:t>
      </w:r>
      <w:r w:rsidRPr="00431B48">
        <w:rPr>
          <w:spacing w:val="-1"/>
          <w:sz w:val="24"/>
        </w:rPr>
        <w:t xml:space="preserve"> </w:t>
      </w:r>
      <w:r w:rsidRPr="00431B48">
        <w:rPr>
          <w:sz w:val="24"/>
        </w:rPr>
        <w:t>account</w:t>
      </w:r>
    </w:p>
    <w:p w14:paraId="10CC5108" w14:textId="77777777" w:rsidR="000D23EB" w:rsidRPr="00431B48" w:rsidRDefault="000122D8">
      <w:pPr>
        <w:pStyle w:val="ListParagraph"/>
        <w:numPr>
          <w:ilvl w:val="0"/>
          <w:numId w:val="1"/>
        </w:numPr>
        <w:tabs>
          <w:tab w:val="left" w:pos="360"/>
        </w:tabs>
        <w:spacing w:before="224"/>
        <w:ind w:left="360" w:hanging="260"/>
        <w:rPr>
          <w:color w:val="808785"/>
          <w:sz w:val="24"/>
        </w:rPr>
      </w:pPr>
      <w:r w:rsidRPr="00431B48">
        <w:rPr>
          <w:sz w:val="24"/>
        </w:rPr>
        <w:t>Signature does not resemble the person’s normal</w:t>
      </w:r>
      <w:r w:rsidRPr="00431B48">
        <w:rPr>
          <w:spacing w:val="-4"/>
          <w:sz w:val="24"/>
        </w:rPr>
        <w:t xml:space="preserve"> </w:t>
      </w:r>
      <w:r w:rsidRPr="00431B48">
        <w:rPr>
          <w:sz w:val="24"/>
        </w:rPr>
        <w:t>signature</w:t>
      </w:r>
    </w:p>
    <w:p w14:paraId="094D4E84" w14:textId="77777777" w:rsidR="000D23EB" w:rsidRPr="00431B48" w:rsidRDefault="000D23EB">
      <w:pPr>
        <w:pStyle w:val="BodyText"/>
        <w:spacing w:before="3"/>
        <w:rPr>
          <w:sz w:val="21"/>
        </w:rPr>
      </w:pPr>
    </w:p>
    <w:p w14:paraId="75C9D0AD" w14:textId="77777777" w:rsidR="000D23EB" w:rsidRPr="00431B48" w:rsidRDefault="000122D8">
      <w:pPr>
        <w:pStyle w:val="ListParagraph"/>
        <w:numPr>
          <w:ilvl w:val="0"/>
          <w:numId w:val="1"/>
        </w:numPr>
        <w:tabs>
          <w:tab w:val="left" w:pos="360"/>
        </w:tabs>
        <w:spacing w:line="295" w:lineRule="auto"/>
        <w:ind w:left="360" w:right="547" w:hanging="260"/>
        <w:rPr>
          <w:color w:val="808785"/>
          <w:sz w:val="24"/>
        </w:rPr>
      </w:pPr>
      <w:r w:rsidRPr="00431B48">
        <w:rPr>
          <w:sz w:val="24"/>
        </w:rPr>
        <w:t xml:space="preserve">Reluctance or anxiety by the person when discussing </w:t>
      </w:r>
      <w:r w:rsidRPr="00431B48">
        <w:rPr>
          <w:spacing w:val="-3"/>
          <w:sz w:val="24"/>
        </w:rPr>
        <w:t xml:space="preserve">their </w:t>
      </w:r>
      <w:r w:rsidRPr="00431B48">
        <w:rPr>
          <w:sz w:val="24"/>
        </w:rPr>
        <w:t>financial</w:t>
      </w:r>
      <w:r w:rsidRPr="00431B48">
        <w:rPr>
          <w:spacing w:val="-1"/>
          <w:sz w:val="24"/>
        </w:rPr>
        <w:t xml:space="preserve"> </w:t>
      </w:r>
      <w:r w:rsidRPr="00431B48">
        <w:rPr>
          <w:sz w:val="24"/>
        </w:rPr>
        <w:t>affairs</w:t>
      </w:r>
    </w:p>
    <w:p w14:paraId="5A577BED" w14:textId="77777777" w:rsidR="000D23EB" w:rsidRPr="00431B48" w:rsidRDefault="000122D8">
      <w:pPr>
        <w:pStyle w:val="ListParagraph"/>
        <w:numPr>
          <w:ilvl w:val="0"/>
          <w:numId w:val="1"/>
        </w:numPr>
        <w:tabs>
          <w:tab w:val="left" w:pos="360"/>
        </w:tabs>
        <w:spacing w:before="181"/>
        <w:ind w:left="360" w:hanging="260"/>
        <w:rPr>
          <w:color w:val="808785"/>
          <w:sz w:val="24"/>
        </w:rPr>
      </w:pPr>
      <w:r w:rsidRPr="00431B48">
        <w:rPr>
          <w:sz w:val="24"/>
        </w:rPr>
        <w:t xml:space="preserve">Giving a substantial gift to a </w:t>
      </w:r>
      <w:proofErr w:type="spellStart"/>
      <w:r w:rsidRPr="00431B48">
        <w:rPr>
          <w:sz w:val="24"/>
        </w:rPr>
        <w:t>carer</w:t>
      </w:r>
      <w:proofErr w:type="spellEnd"/>
      <w:r w:rsidRPr="00431B48">
        <w:rPr>
          <w:sz w:val="24"/>
        </w:rPr>
        <w:t xml:space="preserve"> or other third</w:t>
      </w:r>
      <w:r w:rsidRPr="00431B48">
        <w:rPr>
          <w:spacing w:val="-5"/>
          <w:sz w:val="24"/>
        </w:rPr>
        <w:t xml:space="preserve"> </w:t>
      </w:r>
      <w:r w:rsidRPr="00431B48">
        <w:rPr>
          <w:sz w:val="24"/>
        </w:rPr>
        <w:t>party</w:t>
      </w:r>
    </w:p>
    <w:p w14:paraId="693A0F55" w14:textId="77777777" w:rsidR="000D23EB" w:rsidRPr="00431B48" w:rsidRDefault="000122D8">
      <w:pPr>
        <w:pStyle w:val="ListParagraph"/>
        <w:numPr>
          <w:ilvl w:val="0"/>
          <w:numId w:val="1"/>
        </w:numPr>
        <w:tabs>
          <w:tab w:val="left" w:pos="360"/>
        </w:tabs>
        <w:spacing w:before="224" w:line="295" w:lineRule="auto"/>
        <w:ind w:left="360" w:right="841" w:hanging="260"/>
        <w:rPr>
          <w:color w:val="808785"/>
          <w:sz w:val="24"/>
        </w:rPr>
      </w:pPr>
      <w:r w:rsidRPr="00431B48">
        <w:rPr>
          <w:sz w:val="24"/>
        </w:rPr>
        <w:t>A sudden interest by a relative or other third party in</w:t>
      </w:r>
      <w:r w:rsidRPr="00431B48">
        <w:rPr>
          <w:spacing w:val="-18"/>
          <w:sz w:val="24"/>
        </w:rPr>
        <w:t xml:space="preserve"> </w:t>
      </w:r>
      <w:r w:rsidRPr="00431B48">
        <w:rPr>
          <w:spacing w:val="-4"/>
          <w:sz w:val="24"/>
        </w:rPr>
        <w:t xml:space="preserve">the </w:t>
      </w:r>
      <w:r w:rsidRPr="00431B48">
        <w:rPr>
          <w:sz w:val="24"/>
        </w:rPr>
        <w:t>welfare of the</w:t>
      </w:r>
      <w:r w:rsidRPr="00431B48">
        <w:rPr>
          <w:spacing w:val="-1"/>
          <w:sz w:val="24"/>
        </w:rPr>
        <w:t xml:space="preserve"> </w:t>
      </w:r>
      <w:r w:rsidRPr="00431B48">
        <w:rPr>
          <w:sz w:val="24"/>
        </w:rPr>
        <w:t>person</w:t>
      </w:r>
    </w:p>
    <w:p w14:paraId="736B20B8" w14:textId="77777777" w:rsidR="000D23EB" w:rsidRPr="00431B48" w:rsidRDefault="000122D8">
      <w:pPr>
        <w:pStyle w:val="ListParagraph"/>
        <w:numPr>
          <w:ilvl w:val="0"/>
          <w:numId w:val="1"/>
        </w:numPr>
        <w:tabs>
          <w:tab w:val="left" w:pos="360"/>
        </w:tabs>
        <w:spacing w:before="181"/>
        <w:ind w:left="360" w:hanging="260"/>
        <w:rPr>
          <w:color w:val="808785"/>
          <w:sz w:val="24"/>
        </w:rPr>
      </w:pPr>
      <w:r w:rsidRPr="00431B48">
        <w:rPr>
          <w:sz w:val="24"/>
        </w:rPr>
        <w:t>Bills remaining unpaid</w:t>
      </w:r>
    </w:p>
    <w:p w14:paraId="62B4B7BF" w14:textId="77777777" w:rsidR="00431B48" w:rsidRPr="00431B48" w:rsidRDefault="000122D8" w:rsidP="00431B48">
      <w:pPr>
        <w:pStyle w:val="ListParagraph"/>
        <w:numPr>
          <w:ilvl w:val="0"/>
          <w:numId w:val="1"/>
        </w:numPr>
        <w:tabs>
          <w:tab w:val="left" w:pos="360"/>
        </w:tabs>
        <w:spacing w:before="224"/>
        <w:ind w:left="360" w:hanging="260"/>
        <w:rPr>
          <w:color w:val="808785"/>
          <w:sz w:val="24"/>
        </w:rPr>
      </w:pPr>
      <w:r w:rsidRPr="00431B48">
        <w:rPr>
          <w:sz w:val="24"/>
        </w:rPr>
        <w:t>Complaints that personal property is</w:t>
      </w:r>
      <w:r w:rsidRPr="00431B48">
        <w:rPr>
          <w:spacing w:val="-2"/>
          <w:sz w:val="24"/>
        </w:rPr>
        <w:t xml:space="preserve"> </w:t>
      </w:r>
      <w:r w:rsidRPr="00431B48">
        <w:rPr>
          <w:sz w:val="24"/>
        </w:rPr>
        <w:t>missing</w:t>
      </w:r>
    </w:p>
    <w:p w14:paraId="1FCBD5F6" w14:textId="6266D90B" w:rsidR="000D23EB" w:rsidRPr="00A81345" w:rsidRDefault="000122D8" w:rsidP="00A81345">
      <w:pPr>
        <w:pStyle w:val="ListParagraph"/>
        <w:numPr>
          <w:ilvl w:val="0"/>
          <w:numId w:val="1"/>
        </w:numPr>
        <w:tabs>
          <w:tab w:val="left" w:pos="360"/>
        </w:tabs>
        <w:spacing w:before="224"/>
        <w:ind w:left="360" w:hanging="260"/>
        <w:rPr>
          <w:color w:val="808785"/>
          <w:sz w:val="24"/>
        </w:rPr>
        <w:sectPr w:rsidR="000D23EB" w:rsidRPr="00A81345">
          <w:type w:val="continuous"/>
          <w:pgSz w:w="11900" w:h="16840"/>
          <w:pgMar w:top="1180" w:right="1100" w:bottom="1400" w:left="1100" w:header="720" w:footer="720" w:gutter="0"/>
          <w:cols w:num="2" w:space="720" w:equalWidth="0">
            <w:col w:w="1953" w:space="647"/>
            <w:col w:w="7100"/>
          </w:cols>
        </w:sectPr>
      </w:pPr>
      <w:r w:rsidRPr="00431B48">
        <w:rPr>
          <w:sz w:val="24"/>
        </w:rPr>
        <w:t xml:space="preserve">Deliberate isolation from friends and family giving </w:t>
      </w:r>
      <w:r w:rsidRPr="00431B48">
        <w:rPr>
          <w:spacing w:val="-3"/>
          <w:sz w:val="24"/>
        </w:rPr>
        <w:t xml:space="preserve">another </w:t>
      </w:r>
      <w:r w:rsidRPr="00431B48">
        <w:rPr>
          <w:sz w:val="24"/>
        </w:rPr>
        <w:t>person total control of their</w:t>
      </w:r>
      <w:r w:rsidRPr="00431B48">
        <w:rPr>
          <w:spacing w:val="-2"/>
          <w:sz w:val="24"/>
        </w:rPr>
        <w:t xml:space="preserve"> </w:t>
      </w:r>
      <w:r w:rsidRPr="00431B48">
        <w:rPr>
          <w:sz w:val="24"/>
        </w:rPr>
        <w:t>decision-makin</w:t>
      </w:r>
      <w:r w:rsidR="00A81345">
        <w:rPr>
          <w:sz w:val="24"/>
        </w:rPr>
        <w:t>g</w:t>
      </w:r>
    </w:p>
    <w:p w14:paraId="5A8C7B53" w14:textId="77777777" w:rsidR="000D23EB" w:rsidRPr="00431B48" w:rsidRDefault="000D23EB">
      <w:pPr>
        <w:rPr>
          <w:sz w:val="25"/>
        </w:rPr>
        <w:sectPr w:rsidR="000D23EB" w:rsidRPr="00431B48">
          <w:pgSz w:w="11900" w:h="16840"/>
          <w:pgMar w:top="1180" w:right="1100" w:bottom="1400" w:left="1100" w:header="960" w:footer="1210" w:gutter="0"/>
          <w:cols w:space="720"/>
        </w:sectPr>
      </w:pPr>
    </w:p>
    <w:p w14:paraId="7AFE5D7D" w14:textId="66E17787" w:rsidR="00A81345" w:rsidRDefault="00A81345" w:rsidP="00A81345">
      <w:pPr>
        <w:rPr>
          <w:b/>
          <w:sz w:val="24"/>
        </w:rPr>
      </w:pPr>
    </w:p>
    <w:p w14:paraId="72B35666" w14:textId="65067785" w:rsidR="00A81345" w:rsidRDefault="00A81345" w:rsidP="00A81345">
      <w:pPr>
        <w:rPr>
          <w:b/>
          <w:sz w:val="24"/>
        </w:rPr>
      </w:pPr>
    </w:p>
    <w:p w14:paraId="44241BE2" w14:textId="77777777" w:rsidR="00A81345" w:rsidRDefault="00A81345" w:rsidP="00A81345">
      <w:pPr>
        <w:rPr>
          <w:b/>
          <w:sz w:val="24"/>
        </w:rPr>
      </w:pPr>
    </w:p>
    <w:p w14:paraId="58A91D7E" w14:textId="791148D9" w:rsidR="000D23EB" w:rsidRPr="00431B48" w:rsidRDefault="000122D8" w:rsidP="00A81345">
      <w:pPr>
        <w:rPr>
          <w:b/>
          <w:sz w:val="24"/>
        </w:rPr>
      </w:pPr>
      <w:r w:rsidRPr="00431B48">
        <w:rPr>
          <w:b/>
          <w:sz w:val="24"/>
        </w:rPr>
        <w:t>Sexual Abuse</w:t>
      </w:r>
    </w:p>
    <w:p w14:paraId="6ADD4B5B" w14:textId="77777777" w:rsidR="000D23EB" w:rsidRPr="00431B48" w:rsidRDefault="000D23EB">
      <w:pPr>
        <w:pStyle w:val="BodyText"/>
        <w:rPr>
          <w:b/>
          <w:sz w:val="28"/>
        </w:rPr>
      </w:pPr>
    </w:p>
    <w:p w14:paraId="46A0C111" w14:textId="77777777" w:rsidR="000D23EB" w:rsidRPr="00431B48" w:rsidRDefault="000D23EB">
      <w:pPr>
        <w:pStyle w:val="BodyText"/>
        <w:rPr>
          <w:b/>
          <w:sz w:val="28"/>
        </w:rPr>
      </w:pPr>
    </w:p>
    <w:p w14:paraId="201B8F4E" w14:textId="77777777" w:rsidR="000D23EB" w:rsidRPr="00431B48" w:rsidRDefault="000D23EB">
      <w:pPr>
        <w:pStyle w:val="BodyText"/>
        <w:rPr>
          <w:b/>
          <w:sz w:val="28"/>
        </w:rPr>
      </w:pPr>
    </w:p>
    <w:p w14:paraId="5C556CEA" w14:textId="77777777" w:rsidR="000D23EB" w:rsidRPr="00431B48" w:rsidRDefault="000D23EB">
      <w:pPr>
        <w:pStyle w:val="BodyText"/>
        <w:rPr>
          <w:b/>
          <w:sz w:val="28"/>
        </w:rPr>
      </w:pPr>
    </w:p>
    <w:p w14:paraId="54403515" w14:textId="77777777" w:rsidR="000D23EB" w:rsidRPr="00431B48" w:rsidRDefault="000D23EB">
      <w:pPr>
        <w:pStyle w:val="BodyText"/>
        <w:rPr>
          <w:b/>
          <w:sz w:val="28"/>
        </w:rPr>
      </w:pPr>
    </w:p>
    <w:p w14:paraId="3E414BEF" w14:textId="77777777" w:rsidR="000D23EB" w:rsidRPr="00431B48" w:rsidRDefault="000D23EB">
      <w:pPr>
        <w:pStyle w:val="BodyText"/>
        <w:rPr>
          <w:b/>
          <w:sz w:val="28"/>
        </w:rPr>
      </w:pPr>
    </w:p>
    <w:p w14:paraId="6A0AD97A" w14:textId="77777777" w:rsidR="000D23EB" w:rsidRPr="00431B48" w:rsidRDefault="000D23EB">
      <w:pPr>
        <w:pStyle w:val="BodyText"/>
        <w:rPr>
          <w:b/>
          <w:sz w:val="28"/>
        </w:rPr>
      </w:pPr>
    </w:p>
    <w:p w14:paraId="3D460C5D" w14:textId="77777777" w:rsidR="000D23EB" w:rsidRPr="00431B48" w:rsidRDefault="000D23EB">
      <w:pPr>
        <w:pStyle w:val="BodyText"/>
        <w:rPr>
          <w:b/>
          <w:sz w:val="28"/>
        </w:rPr>
      </w:pPr>
    </w:p>
    <w:p w14:paraId="43552CF8" w14:textId="77777777" w:rsidR="000D23EB" w:rsidRPr="00431B48" w:rsidRDefault="000D23EB">
      <w:pPr>
        <w:pStyle w:val="BodyText"/>
        <w:rPr>
          <w:b/>
          <w:sz w:val="28"/>
        </w:rPr>
      </w:pPr>
    </w:p>
    <w:p w14:paraId="35AAF020" w14:textId="77777777" w:rsidR="000D23EB" w:rsidRPr="00431B48" w:rsidRDefault="000D23EB">
      <w:pPr>
        <w:pStyle w:val="BodyText"/>
        <w:rPr>
          <w:b/>
          <w:sz w:val="28"/>
        </w:rPr>
      </w:pPr>
    </w:p>
    <w:p w14:paraId="79CAC0C8" w14:textId="77777777" w:rsidR="000D23EB" w:rsidRPr="00431B48" w:rsidRDefault="000D23EB">
      <w:pPr>
        <w:pStyle w:val="BodyText"/>
        <w:rPr>
          <w:b/>
          <w:sz w:val="28"/>
        </w:rPr>
      </w:pPr>
    </w:p>
    <w:p w14:paraId="7252AB98" w14:textId="77777777" w:rsidR="000D23EB" w:rsidRPr="00431B48" w:rsidRDefault="000D23EB">
      <w:pPr>
        <w:pStyle w:val="BodyText"/>
        <w:rPr>
          <w:b/>
          <w:sz w:val="28"/>
        </w:rPr>
      </w:pPr>
    </w:p>
    <w:p w14:paraId="688DD8A2" w14:textId="77777777" w:rsidR="000D23EB" w:rsidRPr="00431B48" w:rsidRDefault="000D23EB">
      <w:pPr>
        <w:pStyle w:val="BodyText"/>
        <w:rPr>
          <w:b/>
          <w:sz w:val="28"/>
        </w:rPr>
      </w:pPr>
    </w:p>
    <w:p w14:paraId="24BCA6C7" w14:textId="77777777" w:rsidR="000D23EB" w:rsidRPr="00431B48" w:rsidRDefault="000D23EB">
      <w:pPr>
        <w:pStyle w:val="BodyText"/>
        <w:rPr>
          <w:b/>
          <w:sz w:val="28"/>
        </w:rPr>
      </w:pPr>
    </w:p>
    <w:p w14:paraId="7456F7A8" w14:textId="77777777" w:rsidR="000D23EB" w:rsidRPr="00431B48" w:rsidRDefault="000D23EB">
      <w:pPr>
        <w:pStyle w:val="BodyText"/>
        <w:rPr>
          <w:b/>
          <w:sz w:val="28"/>
        </w:rPr>
      </w:pPr>
    </w:p>
    <w:p w14:paraId="4767E04B" w14:textId="77777777" w:rsidR="000D23EB" w:rsidRPr="00431B48" w:rsidRDefault="000D23EB">
      <w:pPr>
        <w:pStyle w:val="BodyText"/>
        <w:rPr>
          <w:b/>
          <w:sz w:val="28"/>
        </w:rPr>
      </w:pPr>
    </w:p>
    <w:p w14:paraId="77146540" w14:textId="77777777" w:rsidR="000D23EB" w:rsidRPr="00431B48" w:rsidRDefault="000D23EB">
      <w:pPr>
        <w:pStyle w:val="BodyText"/>
        <w:rPr>
          <w:b/>
          <w:sz w:val="28"/>
        </w:rPr>
      </w:pPr>
    </w:p>
    <w:p w14:paraId="647D3771" w14:textId="77777777" w:rsidR="000D23EB" w:rsidRPr="00431B48" w:rsidRDefault="000122D8">
      <w:pPr>
        <w:spacing w:before="251" w:line="261" w:lineRule="auto"/>
        <w:ind w:left="100" w:right="681"/>
        <w:rPr>
          <w:b/>
          <w:sz w:val="24"/>
        </w:rPr>
      </w:pPr>
      <w:r w:rsidRPr="00431B48">
        <w:rPr>
          <w:b/>
          <w:sz w:val="24"/>
        </w:rPr>
        <w:t>Domestic Violence</w:t>
      </w:r>
    </w:p>
    <w:p w14:paraId="5AA428A3" w14:textId="16051FD7" w:rsidR="000D23EB" w:rsidRDefault="0061760B" w:rsidP="00A81345">
      <w:pPr>
        <w:pStyle w:val="BodyText"/>
        <w:spacing w:before="109" w:line="295" w:lineRule="auto"/>
        <w:ind w:left="100" w:right="309"/>
      </w:pPr>
      <w:r>
        <w:rPr>
          <w:noProof/>
        </w:rPr>
        <w:pict w14:anchorId="3C502C0E">
          <v:shape id="_x0000_s2053" type="#_x0000_t202" style="position:absolute;left:0;text-align:left;margin-left:-.9pt;margin-top:67pt;width:113.7pt;height:21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5758E625" w14:textId="5D9B475D" w:rsidR="00A81345" w:rsidRPr="00A81345" w:rsidRDefault="00A81345" w:rsidP="00A81345">
                  <w:pPr>
                    <w:rPr>
                      <w:b/>
                      <w:bCs/>
                      <w:sz w:val="24"/>
                      <w:szCs w:val="24"/>
                      <w:lang w:val="en-GB"/>
                    </w:rPr>
                  </w:pPr>
                  <w:r>
                    <w:rPr>
                      <w:b/>
                      <w:bCs/>
                      <w:sz w:val="24"/>
                      <w:szCs w:val="24"/>
                      <w:lang w:val="en-GB"/>
                    </w:rPr>
                    <w:t>Grooming</w:t>
                  </w:r>
                </w:p>
              </w:txbxContent>
            </v:textbox>
            <w10:wrap type="square"/>
          </v:shape>
        </w:pict>
      </w:r>
      <w:r w:rsidR="000122D8" w:rsidRPr="00431B48">
        <w:br w:type="column"/>
      </w:r>
    </w:p>
    <w:p w14:paraId="32685068" w14:textId="77777777" w:rsidR="00A81345" w:rsidRPr="00A81345" w:rsidRDefault="00A81345" w:rsidP="00A81345">
      <w:pPr>
        <w:pStyle w:val="BodyText"/>
        <w:spacing w:before="109" w:line="295" w:lineRule="auto"/>
        <w:ind w:left="100" w:right="309"/>
      </w:pPr>
    </w:p>
    <w:p w14:paraId="1E654567" w14:textId="41F5A7B6" w:rsidR="000D23EB" w:rsidRPr="00431B48" w:rsidRDefault="000122D8">
      <w:pPr>
        <w:pStyle w:val="BodyText"/>
        <w:spacing w:line="295" w:lineRule="auto"/>
        <w:ind w:left="100" w:right="282"/>
      </w:pPr>
      <w:r w:rsidRPr="00431B48">
        <w:t>Rape and sexual assault or sexual acts to which the vulnerable adult has not or could not consent and/or to which they were pressured into consenting.</w:t>
      </w:r>
    </w:p>
    <w:p w14:paraId="2E243DA3" w14:textId="77777777" w:rsidR="000D23EB" w:rsidRPr="00431B48" w:rsidRDefault="000D23EB">
      <w:pPr>
        <w:pStyle w:val="BodyText"/>
        <w:rPr>
          <w:sz w:val="28"/>
        </w:rPr>
      </w:pPr>
    </w:p>
    <w:p w14:paraId="3F5D590D" w14:textId="77777777" w:rsidR="000D23EB" w:rsidRPr="00431B48" w:rsidRDefault="000122D8">
      <w:pPr>
        <w:pStyle w:val="BodyText"/>
        <w:spacing w:line="292" w:lineRule="auto"/>
        <w:ind w:left="100" w:right="349"/>
      </w:pPr>
      <w:r w:rsidRPr="00431B48">
        <w:t xml:space="preserve">No child under the age of 13 years </w:t>
      </w:r>
      <w:proofErr w:type="gramStart"/>
      <w:r w:rsidRPr="00431B48">
        <w:t>is able to</w:t>
      </w:r>
      <w:proofErr w:type="gramEnd"/>
      <w:r w:rsidRPr="00431B48">
        <w:t xml:space="preserve"> consent to sexual activity. Sexually active young people in peer-to-peer relationships where both participants are under the age of 18 should be consensual e.g. without coercion, exploitation, manipulation or the use of drugs or intoxicants to lower resistance.</w:t>
      </w:r>
    </w:p>
    <w:p w14:paraId="7B2E2275" w14:textId="77777777" w:rsidR="000D23EB" w:rsidRPr="00431B48" w:rsidRDefault="000D23EB">
      <w:pPr>
        <w:pStyle w:val="BodyText"/>
        <w:spacing w:before="9"/>
        <w:rPr>
          <w:sz w:val="27"/>
        </w:rPr>
      </w:pPr>
    </w:p>
    <w:p w14:paraId="33ECE16F" w14:textId="77777777" w:rsidR="000D23EB" w:rsidRPr="00431B48" w:rsidRDefault="000122D8">
      <w:pPr>
        <w:pStyle w:val="BodyText"/>
        <w:spacing w:line="295" w:lineRule="auto"/>
        <w:ind w:left="100" w:right="135"/>
      </w:pPr>
      <w:r w:rsidRPr="00431B48">
        <w:t xml:space="preserve">Intimate relationships between adults (aged over 18 years) who are in a position of trust and young people under the age of 18 years in their care </w:t>
      </w:r>
      <w:proofErr w:type="gramStart"/>
      <w:r w:rsidRPr="00431B48">
        <w:t>are considered to be</w:t>
      </w:r>
      <w:proofErr w:type="gramEnd"/>
      <w:r w:rsidRPr="00431B48">
        <w:t xml:space="preserve"> an abuse of a position of trust and a crime under the Sexual Offences Act 2003.</w:t>
      </w:r>
    </w:p>
    <w:p w14:paraId="21912DC7" w14:textId="77777777" w:rsidR="000D23EB" w:rsidRPr="00431B48" w:rsidRDefault="000D23EB">
      <w:pPr>
        <w:pStyle w:val="BodyText"/>
        <w:rPr>
          <w:sz w:val="26"/>
        </w:rPr>
      </w:pPr>
    </w:p>
    <w:p w14:paraId="5995E596" w14:textId="77777777" w:rsidR="000D23EB" w:rsidRPr="00431B48" w:rsidRDefault="000D23EB">
      <w:pPr>
        <w:pStyle w:val="BodyText"/>
        <w:rPr>
          <w:sz w:val="26"/>
        </w:rPr>
      </w:pPr>
    </w:p>
    <w:p w14:paraId="66959178" w14:textId="77777777" w:rsidR="000D23EB" w:rsidRPr="00431B48" w:rsidRDefault="000D23EB">
      <w:pPr>
        <w:pStyle w:val="BodyText"/>
        <w:spacing w:before="5"/>
        <w:rPr>
          <w:sz w:val="33"/>
        </w:rPr>
      </w:pPr>
    </w:p>
    <w:p w14:paraId="12FA8A9A" w14:textId="77777777" w:rsidR="000D23EB" w:rsidRPr="00431B48" w:rsidRDefault="000122D8">
      <w:pPr>
        <w:pStyle w:val="BodyText"/>
        <w:spacing w:line="295" w:lineRule="auto"/>
        <w:ind w:left="100" w:right="68"/>
      </w:pPr>
      <w:r w:rsidRPr="00431B48">
        <w:t>The Domestic Violence, Crime and Victims Act 2004 amendment 2012 includes the definition of “causing child or vulnerable adult to suffer physical harm”.</w:t>
      </w:r>
    </w:p>
    <w:p w14:paraId="360C0F33" w14:textId="77777777" w:rsidR="000D23EB" w:rsidRDefault="000D23EB">
      <w:pPr>
        <w:spacing w:line="295" w:lineRule="auto"/>
      </w:pPr>
    </w:p>
    <w:p w14:paraId="7E584A44" w14:textId="77777777" w:rsidR="00A81345" w:rsidRDefault="00A81345">
      <w:pPr>
        <w:spacing w:line="295" w:lineRule="auto"/>
      </w:pPr>
    </w:p>
    <w:p w14:paraId="7BB02006" w14:textId="77777777" w:rsidR="00A81345" w:rsidRDefault="00A81345" w:rsidP="00A81345">
      <w:pPr>
        <w:pStyle w:val="BodyText"/>
        <w:spacing w:line="295" w:lineRule="auto"/>
        <w:ind w:left="100" w:right="68"/>
      </w:pPr>
    </w:p>
    <w:p w14:paraId="30A3FFE7" w14:textId="6B93893F" w:rsidR="00A81345" w:rsidRPr="00431B48" w:rsidRDefault="00A81345" w:rsidP="00A81345">
      <w:pPr>
        <w:pStyle w:val="BodyText"/>
        <w:spacing w:line="295" w:lineRule="auto"/>
        <w:ind w:left="100" w:right="68"/>
        <w:sectPr w:rsidR="00A81345" w:rsidRPr="00431B48">
          <w:type w:val="continuous"/>
          <w:pgSz w:w="11900" w:h="16840"/>
          <w:pgMar w:top="1180" w:right="1100" w:bottom="1400" w:left="1100" w:header="720" w:footer="720" w:gutter="0"/>
          <w:cols w:num="2" w:space="720" w:equalWidth="0">
            <w:col w:w="1882" w:space="718"/>
            <w:col w:w="7100"/>
          </w:cols>
        </w:sectPr>
      </w:pPr>
      <w:r w:rsidRPr="00A81345">
        <w:t>The NSPCC defines grooming as when someone builds a relationship, trust and emotional connection with a child or young person so they can manipulate, exploit and abuse them. The Sexual Offences Act 2003, grooming of young people under the age of 18 became a statutory offence.</w:t>
      </w:r>
    </w:p>
    <w:p w14:paraId="1BA61F38" w14:textId="77777777" w:rsidR="000D23EB" w:rsidRPr="00431B48" w:rsidRDefault="000D23EB">
      <w:pPr>
        <w:pStyle w:val="BodyText"/>
        <w:rPr>
          <w:sz w:val="20"/>
        </w:rPr>
      </w:pPr>
    </w:p>
    <w:p w14:paraId="4F086130" w14:textId="77777777" w:rsidR="000D23EB" w:rsidRPr="00431B48" w:rsidRDefault="000D23EB">
      <w:pPr>
        <w:pStyle w:val="BodyText"/>
        <w:rPr>
          <w:sz w:val="20"/>
        </w:rPr>
      </w:pPr>
    </w:p>
    <w:p w14:paraId="08800E77" w14:textId="77777777" w:rsidR="000D23EB" w:rsidRPr="00431B48" w:rsidRDefault="000D23EB">
      <w:pPr>
        <w:rPr>
          <w:sz w:val="20"/>
        </w:rPr>
        <w:sectPr w:rsidR="000D23EB" w:rsidRPr="00431B48">
          <w:pgSz w:w="11900" w:h="16840"/>
          <w:pgMar w:top="1180" w:right="1100" w:bottom="1400" w:left="1100" w:header="960" w:footer="1210" w:gutter="0"/>
          <w:cols w:space="720"/>
        </w:sectPr>
      </w:pPr>
    </w:p>
    <w:p w14:paraId="2C55A9AC" w14:textId="77777777" w:rsidR="000D23EB" w:rsidRPr="00431B48" w:rsidRDefault="000D23EB">
      <w:pPr>
        <w:pStyle w:val="BodyText"/>
        <w:spacing w:before="9"/>
        <w:rPr>
          <w:b/>
          <w:sz w:val="35"/>
        </w:rPr>
      </w:pPr>
    </w:p>
    <w:p w14:paraId="6D5AF36A" w14:textId="041C10C2" w:rsidR="000D23EB" w:rsidRPr="00431B48" w:rsidRDefault="000122D8">
      <w:pPr>
        <w:spacing w:before="1"/>
        <w:ind w:left="100"/>
        <w:rPr>
          <w:b/>
          <w:sz w:val="24"/>
        </w:rPr>
      </w:pPr>
      <w:r w:rsidRPr="00431B48">
        <w:rPr>
          <w:b/>
          <w:sz w:val="24"/>
        </w:rPr>
        <w:t>Online Abuse</w:t>
      </w:r>
    </w:p>
    <w:p w14:paraId="553911BB" w14:textId="77777777" w:rsidR="000D23EB" w:rsidRPr="00431B48" w:rsidRDefault="000D23EB">
      <w:pPr>
        <w:pStyle w:val="BodyText"/>
        <w:rPr>
          <w:b/>
          <w:sz w:val="28"/>
        </w:rPr>
      </w:pPr>
    </w:p>
    <w:p w14:paraId="096A2640" w14:textId="77777777" w:rsidR="000D23EB" w:rsidRPr="00431B48" w:rsidRDefault="000D23EB">
      <w:pPr>
        <w:pStyle w:val="BodyText"/>
        <w:rPr>
          <w:b/>
          <w:sz w:val="28"/>
        </w:rPr>
      </w:pPr>
    </w:p>
    <w:p w14:paraId="484A2DA1" w14:textId="77777777" w:rsidR="000D23EB" w:rsidRPr="00431B48" w:rsidRDefault="000D23EB">
      <w:pPr>
        <w:pStyle w:val="BodyText"/>
        <w:rPr>
          <w:b/>
          <w:sz w:val="28"/>
        </w:rPr>
      </w:pPr>
    </w:p>
    <w:p w14:paraId="60C56529" w14:textId="77777777" w:rsidR="000D23EB" w:rsidRPr="00431B48" w:rsidRDefault="000D23EB">
      <w:pPr>
        <w:pStyle w:val="BodyText"/>
        <w:rPr>
          <w:b/>
          <w:sz w:val="28"/>
        </w:rPr>
      </w:pPr>
    </w:p>
    <w:p w14:paraId="0FC6B069" w14:textId="77777777" w:rsidR="000D23EB" w:rsidRPr="00431B48" w:rsidRDefault="000D23EB">
      <w:pPr>
        <w:pStyle w:val="BodyText"/>
        <w:rPr>
          <w:b/>
          <w:sz w:val="28"/>
        </w:rPr>
      </w:pPr>
    </w:p>
    <w:p w14:paraId="546A6FCE" w14:textId="77777777" w:rsidR="000D23EB" w:rsidRPr="00431B48" w:rsidRDefault="000D23EB">
      <w:pPr>
        <w:pStyle w:val="BodyText"/>
        <w:rPr>
          <w:b/>
          <w:sz w:val="28"/>
        </w:rPr>
      </w:pPr>
    </w:p>
    <w:p w14:paraId="12500C81" w14:textId="77777777" w:rsidR="000D23EB" w:rsidRPr="00431B48" w:rsidRDefault="000D23EB">
      <w:pPr>
        <w:pStyle w:val="BodyText"/>
        <w:rPr>
          <w:b/>
          <w:sz w:val="28"/>
        </w:rPr>
      </w:pPr>
    </w:p>
    <w:p w14:paraId="23FC5C19" w14:textId="77777777" w:rsidR="000D23EB" w:rsidRPr="00431B48" w:rsidRDefault="000D23EB">
      <w:pPr>
        <w:pStyle w:val="BodyText"/>
        <w:rPr>
          <w:b/>
          <w:sz w:val="28"/>
        </w:rPr>
      </w:pPr>
    </w:p>
    <w:p w14:paraId="2365FD81" w14:textId="77777777" w:rsidR="000D23EB" w:rsidRPr="00431B48" w:rsidRDefault="000D23EB">
      <w:pPr>
        <w:pStyle w:val="BodyText"/>
        <w:rPr>
          <w:b/>
          <w:sz w:val="28"/>
        </w:rPr>
      </w:pPr>
    </w:p>
    <w:p w14:paraId="1ABB1036" w14:textId="77777777" w:rsidR="000D23EB" w:rsidRPr="00431B48" w:rsidRDefault="000D23EB">
      <w:pPr>
        <w:pStyle w:val="BodyText"/>
        <w:rPr>
          <w:b/>
          <w:sz w:val="28"/>
        </w:rPr>
      </w:pPr>
    </w:p>
    <w:p w14:paraId="1569B2FF" w14:textId="77777777" w:rsidR="000D23EB" w:rsidRPr="00431B48" w:rsidRDefault="000D23EB">
      <w:pPr>
        <w:pStyle w:val="BodyText"/>
        <w:rPr>
          <w:b/>
          <w:sz w:val="28"/>
        </w:rPr>
      </w:pPr>
    </w:p>
    <w:p w14:paraId="1304B024" w14:textId="77777777" w:rsidR="000D23EB" w:rsidRPr="00431B48" w:rsidRDefault="000D23EB">
      <w:pPr>
        <w:pStyle w:val="BodyText"/>
        <w:rPr>
          <w:b/>
          <w:sz w:val="28"/>
        </w:rPr>
      </w:pPr>
    </w:p>
    <w:p w14:paraId="35E5FDD7" w14:textId="77777777" w:rsidR="000D23EB" w:rsidRPr="00431B48" w:rsidRDefault="000D23EB">
      <w:pPr>
        <w:pStyle w:val="BodyText"/>
        <w:rPr>
          <w:b/>
          <w:sz w:val="28"/>
        </w:rPr>
      </w:pPr>
    </w:p>
    <w:p w14:paraId="5347F3C0" w14:textId="77777777" w:rsidR="000D23EB" w:rsidRPr="00431B48" w:rsidRDefault="000122D8">
      <w:pPr>
        <w:spacing w:before="198"/>
        <w:ind w:left="100"/>
        <w:rPr>
          <w:b/>
          <w:sz w:val="24"/>
        </w:rPr>
      </w:pPr>
      <w:r w:rsidRPr="00431B48">
        <w:rPr>
          <w:b/>
          <w:sz w:val="24"/>
        </w:rPr>
        <w:t>Neglect</w:t>
      </w:r>
    </w:p>
    <w:p w14:paraId="2F6BE807" w14:textId="7BF47267" w:rsidR="000D23EB" w:rsidRDefault="000122D8" w:rsidP="00A81345">
      <w:pPr>
        <w:pStyle w:val="BodyText"/>
        <w:spacing w:before="7"/>
        <w:rPr>
          <w:b/>
          <w:sz w:val="21"/>
        </w:rPr>
      </w:pPr>
      <w:r w:rsidRPr="00431B48">
        <w:br w:type="column"/>
      </w:r>
    </w:p>
    <w:p w14:paraId="6BD5CCBB" w14:textId="77777777" w:rsidR="00A81345" w:rsidRPr="00A81345" w:rsidRDefault="00A81345" w:rsidP="00A81345">
      <w:pPr>
        <w:pStyle w:val="BodyText"/>
        <w:spacing w:before="7"/>
        <w:rPr>
          <w:b/>
          <w:sz w:val="21"/>
        </w:rPr>
      </w:pPr>
    </w:p>
    <w:p w14:paraId="59B11B0D" w14:textId="77777777" w:rsidR="000D23EB" w:rsidRPr="00431B48" w:rsidRDefault="000122D8">
      <w:pPr>
        <w:pStyle w:val="BodyText"/>
        <w:spacing w:line="292" w:lineRule="auto"/>
        <w:ind w:left="100" w:right="229"/>
      </w:pPr>
      <w:r w:rsidRPr="00431B48">
        <w:t>Online abuse is any type of abuse that happens on the web, whether through social networks, playing online games or using mobile phones. Children and adults at risk may experience cyberbullying, grooming, sexual abuse, sexual exploitation or emotional abuse. Children and adults at risk can be at risk of online abuse from people they know, as well as from strangers.</w:t>
      </w:r>
    </w:p>
    <w:p w14:paraId="7A6798A3" w14:textId="77777777" w:rsidR="000D23EB" w:rsidRPr="00431B48" w:rsidRDefault="000D23EB">
      <w:pPr>
        <w:pStyle w:val="BodyText"/>
        <w:spacing w:before="9"/>
        <w:rPr>
          <w:sz w:val="27"/>
        </w:rPr>
      </w:pPr>
    </w:p>
    <w:p w14:paraId="73579A06" w14:textId="77777777" w:rsidR="000D23EB" w:rsidRPr="00431B48" w:rsidRDefault="000122D8">
      <w:pPr>
        <w:pStyle w:val="BodyText"/>
        <w:spacing w:before="1" w:line="290" w:lineRule="auto"/>
        <w:ind w:left="100" w:right="162"/>
      </w:pPr>
      <w:r w:rsidRPr="00431B48">
        <w:t>Online abuse may be part of abuse that is taking place in the real world (for example bullying or grooming) or it may be that the abuse only happens online (for example persuading children or adults at risk to take part in sexual activity online).</w:t>
      </w:r>
    </w:p>
    <w:p w14:paraId="02BCDF48" w14:textId="77777777" w:rsidR="000D23EB" w:rsidRPr="00431B48" w:rsidRDefault="000D23EB">
      <w:pPr>
        <w:pStyle w:val="BodyText"/>
        <w:rPr>
          <w:sz w:val="26"/>
        </w:rPr>
      </w:pPr>
    </w:p>
    <w:p w14:paraId="22CE6D74" w14:textId="77777777" w:rsidR="000D23EB" w:rsidRPr="00431B48" w:rsidRDefault="000D23EB">
      <w:pPr>
        <w:pStyle w:val="BodyText"/>
        <w:rPr>
          <w:sz w:val="26"/>
        </w:rPr>
      </w:pPr>
    </w:p>
    <w:p w14:paraId="6449B9A2" w14:textId="77777777" w:rsidR="000D23EB" w:rsidRPr="00431B48" w:rsidRDefault="000D23EB">
      <w:pPr>
        <w:pStyle w:val="BodyText"/>
        <w:spacing w:before="3"/>
        <w:rPr>
          <w:sz w:val="35"/>
        </w:rPr>
      </w:pPr>
    </w:p>
    <w:p w14:paraId="7B63590F" w14:textId="77777777" w:rsidR="000D23EB" w:rsidRPr="00431B48" w:rsidRDefault="000122D8">
      <w:pPr>
        <w:pStyle w:val="BodyText"/>
        <w:spacing w:before="1" w:line="290" w:lineRule="auto"/>
        <w:ind w:left="100" w:right="176"/>
      </w:pPr>
      <w:r w:rsidRPr="00431B48">
        <w:t>Neglect means a failure to meet a person’s basic physical, emotional, social or psychological needs, which is likely to result in an impairment of the person’s wellbeing (for example, an impairment of the person’s health or, in the case of a child, an impairment of the child’s development). This may include:</w:t>
      </w:r>
    </w:p>
    <w:p w14:paraId="2D5C9328" w14:textId="77777777" w:rsidR="000D23EB" w:rsidRPr="00431B48" w:rsidRDefault="000122D8">
      <w:pPr>
        <w:pStyle w:val="ListParagraph"/>
        <w:numPr>
          <w:ilvl w:val="0"/>
          <w:numId w:val="1"/>
        </w:numPr>
        <w:tabs>
          <w:tab w:val="left" w:pos="247"/>
        </w:tabs>
        <w:spacing w:before="190"/>
        <w:ind w:left="246" w:hanging="147"/>
        <w:rPr>
          <w:sz w:val="24"/>
        </w:rPr>
      </w:pPr>
      <w:r w:rsidRPr="00431B48">
        <w:rPr>
          <w:sz w:val="24"/>
        </w:rPr>
        <w:t>The failure to access medical care or</w:t>
      </w:r>
      <w:r w:rsidRPr="00431B48">
        <w:rPr>
          <w:spacing w:val="-1"/>
          <w:sz w:val="24"/>
        </w:rPr>
        <w:t xml:space="preserve"> </w:t>
      </w:r>
      <w:r w:rsidRPr="00431B48">
        <w:rPr>
          <w:sz w:val="24"/>
        </w:rPr>
        <w:t>services</w:t>
      </w:r>
    </w:p>
    <w:p w14:paraId="53861F00" w14:textId="77777777" w:rsidR="000D23EB" w:rsidRPr="00431B48" w:rsidRDefault="000122D8">
      <w:pPr>
        <w:pStyle w:val="ListParagraph"/>
        <w:numPr>
          <w:ilvl w:val="0"/>
          <w:numId w:val="1"/>
        </w:numPr>
        <w:tabs>
          <w:tab w:val="left" w:pos="251"/>
        </w:tabs>
        <w:spacing w:before="224"/>
        <w:ind w:left="250"/>
        <w:rPr>
          <w:sz w:val="24"/>
        </w:rPr>
      </w:pPr>
      <w:r w:rsidRPr="00431B48">
        <w:rPr>
          <w:sz w:val="24"/>
        </w:rPr>
        <w:t>Negligence in the face of</w:t>
      </w:r>
      <w:r w:rsidRPr="00431B48">
        <w:rPr>
          <w:spacing w:val="-2"/>
          <w:sz w:val="24"/>
        </w:rPr>
        <w:t xml:space="preserve"> </w:t>
      </w:r>
      <w:r w:rsidRPr="00431B48">
        <w:rPr>
          <w:sz w:val="24"/>
        </w:rPr>
        <w:t>risk-taking</w:t>
      </w:r>
    </w:p>
    <w:p w14:paraId="5B60290D" w14:textId="77777777" w:rsidR="000D23EB" w:rsidRPr="00431B48" w:rsidRDefault="000D23EB">
      <w:pPr>
        <w:pStyle w:val="BodyText"/>
        <w:spacing w:before="2"/>
        <w:rPr>
          <w:sz w:val="21"/>
        </w:rPr>
      </w:pPr>
    </w:p>
    <w:p w14:paraId="126FD8E8" w14:textId="77777777" w:rsidR="00A81345" w:rsidRDefault="000122D8" w:rsidP="00A81345">
      <w:pPr>
        <w:pStyle w:val="ListParagraph"/>
        <w:numPr>
          <w:ilvl w:val="0"/>
          <w:numId w:val="1"/>
        </w:numPr>
        <w:tabs>
          <w:tab w:val="left" w:pos="251"/>
        </w:tabs>
        <w:ind w:left="250"/>
        <w:rPr>
          <w:sz w:val="24"/>
        </w:rPr>
      </w:pPr>
      <w:r w:rsidRPr="00431B48">
        <w:rPr>
          <w:sz w:val="24"/>
        </w:rPr>
        <w:t>Failure to give prescribed</w:t>
      </w:r>
      <w:r w:rsidRPr="00431B48">
        <w:rPr>
          <w:spacing w:val="-1"/>
          <w:sz w:val="24"/>
        </w:rPr>
        <w:t xml:space="preserve"> </w:t>
      </w:r>
      <w:r w:rsidRPr="00431B48">
        <w:rPr>
          <w:sz w:val="24"/>
        </w:rPr>
        <w:t>medication</w:t>
      </w:r>
    </w:p>
    <w:p w14:paraId="67E0E7E3" w14:textId="77777777" w:rsidR="00A81345" w:rsidRPr="00A81345" w:rsidRDefault="00A81345" w:rsidP="00A81345">
      <w:pPr>
        <w:pStyle w:val="ListParagraph"/>
        <w:rPr>
          <w:sz w:val="24"/>
        </w:rPr>
      </w:pPr>
    </w:p>
    <w:p w14:paraId="67BC7D34" w14:textId="488178EF" w:rsidR="00A81345" w:rsidRDefault="00A81345" w:rsidP="00A81345">
      <w:pPr>
        <w:pStyle w:val="ListParagraph"/>
        <w:numPr>
          <w:ilvl w:val="0"/>
          <w:numId w:val="1"/>
        </w:numPr>
        <w:tabs>
          <w:tab w:val="left" w:pos="251"/>
        </w:tabs>
        <w:ind w:left="250"/>
        <w:rPr>
          <w:sz w:val="24"/>
        </w:rPr>
      </w:pPr>
      <w:r w:rsidRPr="00A81345">
        <w:rPr>
          <w:sz w:val="24"/>
        </w:rPr>
        <w:t>Failure to assist in personal hygiene or the provision of food, shelter, clothing</w:t>
      </w:r>
      <w:r>
        <w:rPr>
          <w:sz w:val="24"/>
        </w:rPr>
        <w:br/>
      </w:r>
    </w:p>
    <w:p w14:paraId="693303FF" w14:textId="77777777" w:rsidR="00A81345" w:rsidRDefault="00A81345" w:rsidP="00A81345">
      <w:pPr>
        <w:tabs>
          <w:tab w:val="left" w:pos="251"/>
        </w:tabs>
        <w:rPr>
          <w:sz w:val="24"/>
        </w:rPr>
      </w:pPr>
      <w:r w:rsidRPr="00A81345">
        <w:rPr>
          <w:sz w:val="24"/>
        </w:rPr>
        <w:t>•</w:t>
      </w:r>
      <w:r w:rsidRPr="00A81345">
        <w:rPr>
          <w:sz w:val="24"/>
        </w:rPr>
        <w:tab/>
        <w:t>Emotional neglect</w:t>
      </w:r>
    </w:p>
    <w:p w14:paraId="77D458DC" w14:textId="5C01516D" w:rsidR="00A81345" w:rsidRPr="00A81345" w:rsidRDefault="00A81345" w:rsidP="00A81345">
      <w:pPr>
        <w:pStyle w:val="BodyText"/>
        <w:spacing w:before="1" w:line="290" w:lineRule="auto"/>
        <w:ind w:left="100" w:right="176"/>
        <w:sectPr w:rsidR="00A81345" w:rsidRPr="00A81345">
          <w:type w:val="continuous"/>
          <w:pgSz w:w="11900" w:h="16840"/>
          <w:pgMar w:top="1180" w:right="1100" w:bottom="1400" w:left="1100" w:header="720" w:footer="720" w:gutter="0"/>
          <w:cols w:num="2" w:space="720" w:equalWidth="0">
            <w:col w:w="1660" w:space="940"/>
            <w:col w:w="7100"/>
          </w:cols>
        </w:sectPr>
      </w:pPr>
      <w:r>
        <w:br/>
      </w:r>
      <w:r w:rsidRPr="00A81345">
        <w:t>Possible indicators of neglect may include decline in personal appearance that may indicate that diet and personal requirements are being ignored.</w:t>
      </w:r>
      <w:r>
        <w:br/>
      </w:r>
    </w:p>
    <w:p w14:paraId="234B99FD" w14:textId="6E11531C" w:rsidR="000D23EB" w:rsidRDefault="000D23EB">
      <w:pPr>
        <w:pStyle w:val="BodyText"/>
        <w:rPr>
          <w:sz w:val="33"/>
        </w:rPr>
      </w:pPr>
    </w:p>
    <w:p w14:paraId="29AE4F7C" w14:textId="77777777" w:rsidR="00A81345" w:rsidRPr="00431B48" w:rsidRDefault="00A81345">
      <w:pPr>
        <w:pStyle w:val="BodyText"/>
        <w:rPr>
          <w:sz w:val="20"/>
        </w:rPr>
      </w:pPr>
    </w:p>
    <w:p w14:paraId="265F3A68" w14:textId="77777777" w:rsidR="000D23EB" w:rsidRPr="00431B48" w:rsidRDefault="000D23EB">
      <w:pPr>
        <w:pStyle w:val="BodyText"/>
        <w:rPr>
          <w:sz w:val="20"/>
        </w:rPr>
      </w:pPr>
    </w:p>
    <w:p w14:paraId="2E5063CD" w14:textId="77777777" w:rsidR="000D23EB" w:rsidRPr="00431B48" w:rsidRDefault="000D23EB">
      <w:pPr>
        <w:pStyle w:val="BodyText"/>
        <w:spacing w:before="1"/>
        <w:rPr>
          <w:sz w:val="18"/>
        </w:rPr>
      </w:pPr>
    </w:p>
    <w:p w14:paraId="5D1175E7" w14:textId="77777777" w:rsidR="000D23EB" w:rsidRPr="00431B48" w:rsidRDefault="000D23EB">
      <w:pPr>
        <w:rPr>
          <w:sz w:val="18"/>
        </w:rPr>
        <w:sectPr w:rsidR="000D23EB" w:rsidRPr="00431B48">
          <w:pgSz w:w="11900" w:h="16840"/>
          <w:pgMar w:top="1180" w:right="1100" w:bottom="1400" w:left="1100" w:header="960" w:footer="1210" w:gutter="0"/>
          <w:cols w:space="720"/>
        </w:sectPr>
      </w:pPr>
    </w:p>
    <w:p w14:paraId="01E5153C" w14:textId="77777777" w:rsidR="000D23EB" w:rsidRPr="00431B48" w:rsidRDefault="000122D8">
      <w:pPr>
        <w:pStyle w:val="Heading1"/>
        <w:spacing w:before="109"/>
      </w:pPr>
      <w:r w:rsidRPr="00431B48">
        <w:t>Modern Slavery</w:t>
      </w:r>
    </w:p>
    <w:p w14:paraId="4C6C4B01" w14:textId="77777777" w:rsidR="000D23EB" w:rsidRPr="00431B48" w:rsidRDefault="000D23EB">
      <w:pPr>
        <w:pStyle w:val="BodyText"/>
        <w:rPr>
          <w:b/>
          <w:sz w:val="28"/>
        </w:rPr>
      </w:pPr>
    </w:p>
    <w:p w14:paraId="718645A5" w14:textId="77777777" w:rsidR="000D23EB" w:rsidRPr="00431B48" w:rsidRDefault="000D23EB">
      <w:pPr>
        <w:pStyle w:val="BodyText"/>
        <w:rPr>
          <w:b/>
          <w:sz w:val="28"/>
        </w:rPr>
      </w:pPr>
    </w:p>
    <w:p w14:paraId="472ACB71" w14:textId="77777777" w:rsidR="000D23EB" w:rsidRPr="00431B48" w:rsidRDefault="000D23EB">
      <w:pPr>
        <w:pStyle w:val="BodyText"/>
        <w:rPr>
          <w:b/>
          <w:sz w:val="28"/>
        </w:rPr>
      </w:pPr>
    </w:p>
    <w:p w14:paraId="4FCB9BAC" w14:textId="77777777" w:rsidR="000D23EB" w:rsidRPr="00431B48" w:rsidRDefault="000D23EB">
      <w:pPr>
        <w:pStyle w:val="BodyText"/>
        <w:rPr>
          <w:b/>
          <w:sz w:val="28"/>
        </w:rPr>
      </w:pPr>
    </w:p>
    <w:p w14:paraId="511FE55B" w14:textId="77777777" w:rsidR="000D23EB" w:rsidRPr="00431B48" w:rsidRDefault="000D23EB">
      <w:pPr>
        <w:pStyle w:val="BodyText"/>
        <w:rPr>
          <w:b/>
          <w:sz w:val="28"/>
        </w:rPr>
      </w:pPr>
    </w:p>
    <w:p w14:paraId="4FAEC606" w14:textId="77777777" w:rsidR="000D23EB" w:rsidRPr="00431B48" w:rsidRDefault="000D23EB">
      <w:pPr>
        <w:pStyle w:val="BodyText"/>
        <w:rPr>
          <w:b/>
          <w:sz w:val="28"/>
        </w:rPr>
      </w:pPr>
    </w:p>
    <w:p w14:paraId="7EEFB895" w14:textId="77777777" w:rsidR="000D23EB" w:rsidRPr="00431B48" w:rsidRDefault="000D23EB">
      <w:pPr>
        <w:pStyle w:val="BodyText"/>
        <w:spacing w:before="10"/>
        <w:rPr>
          <w:b/>
          <w:sz w:val="35"/>
        </w:rPr>
      </w:pPr>
    </w:p>
    <w:p w14:paraId="4D891541" w14:textId="77777777" w:rsidR="000D23EB" w:rsidRPr="00431B48" w:rsidRDefault="000122D8">
      <w:pPr>
        <w:ind w:left="100"/>
        <w:rPr>
          <w:b/>
          <w:sz w:val="24"/>
        </w:rPr>
      </w:pPr>
      <w:proofErr w:type="spellStart"/>
      <w:r w:rsidRPr="00431B48">
        <w:rPr>
          <w:b/>
          <w:sz w:val="24"/>
        </w:rPr>
        <w:t>Radicalisation</w:t>
      </w:r>
      <w:proofErr w:type="spellEnd"/>
    </w:p>
    <w:p w14:paraId="1F013276" w14:textId="77777777" w:rsidR="000D23EB" w:rsidRPr="00431B48" w:rsidRDefault="000D23EB">
      <w:pPr>
        <w:pStyle w:val="BodyText"/>
        <w:rPr>
          <w:b/>
          <w:sz w:val="28"/>
        </w:rPr>
      </w:pPr>
    </w:p>
    <w:p w14:paraId="0BF99629" w14:textId="77777777" w:rsidR="000D23EB" w:rsidRPr="00431B48" w:rsidRDefault="000D23EB">
      <w:pPr>
        <w:pStyle w:val="BodyText"/>
        <w:rPr>
          <w:b/>
          <w:sz w:val="28"/>
        </w:rPr>
      </w:pPr>
    </w:p>
    <w:p w14:paraId="01026CB4" w14:textId="77777777" w:rsidR="000D23EB" w:rsidRPr="00431B48" w:rsidRDefault="000D23EB">
      <w:pPr>
        <w:pStyle w:val="BodyText"/>
        <w:rPr>
          <w:b/>
          <w:sz w:val="28"/>
        </w:rPr>
      </w:pPr>
    </w:p>
    <w:p w14:paraId="5510E5A5" w14:textId="77777777" w:rsidR="000D23EB" w:rsidRPr="00431B48" w:rsidRDefault="000D23EB">
      <w:pPr>
        <w:pStyle w:val="BodyText"/>
        <w:rPr>
          <w:b/>
          <w:sz w:val="28"/>
        </w:rPr>
      </w:pPr>
    </w:p>
    <w:p w14:paraId="0446C3E3" w14:textId="77777777" w:rsidR="000D23EB" w:rsidRPr="00431B48" w:rsidRDefault="000D23EB">
      <w:pPr>
        <w:pStyle w:val="BodyText"/>
        <w:rPr>
          <w:b/>
          <w:sz w:val="28"/>
        </w:rPr>
      </w:pPr>
    </w:p>
    <w:p w14:paraId="29D58B59" w14:textId="77777777" w:rsidR="000D23EB" w:rsidRPr="00431B48" w:rsidRDefault="000D23EB">
      <w:pPr>
        <w:pStyle w:val="BodyText"/>
        <w:rPr>
          <w:b/>
          <w:sz w:val="28"/>
        </w:rPr>
      </w:pPr>
    </w:p>
    <w:p w14:paraId="004F8B6F" w14:textId="024185B3" w:rsidR="000D23EB" w:rsidRDefault="000D23EB">
      <w:pPr>
        <w:pStyle w:val="BodyText"/>
        <w:rPr>
          <w:b/>
          <w:sz w:val="28"/>
        </w:rPr>
      </w:pPr>
    </w:p>
    <w:p w14:paraId="26B2E870" w14:textId="388BE450" w:rsidR="00A81345" w:rsidRDefault="00A81345">
      <w:pPr>
        <w:pStyle w:val="BodyText"/>
        <w:rPr>
          <w:b/>
          <w:sz w:val="28"/>
        </w:rPr>
      </w:pPr>
    </w:p>
    <w:p w14:paraId="69C29073" w14:textId="682C7F3D" w:rsidR="00A81345" w:rsidRDefault="00A81345">
      <w:pPr>
        <w:pStyle w:val="BodyText"/>
        <w:rPr>
          <w:b/>
          <w:sz w:val="28"/>
        </w:rPr>
      </w:pPr>
    </w:p>
    <w:p w14:paraId="0E1A43D8" w14:textId="0B880981" w:rsidR="00A81345" w:rsidRDefault="00A81345">
      <w:pPr>
        <w:pStyle w:val="BodyText"/>
        <w:rPr>
          <w:b/>
          <w:sz w:val="28"/>
        </w:rPr>
      </w:pPr>
    </w:p>
    <w:p w14:paraId="7CE14911" w14:textId="69BCFBA6" w:rsidR="00A81345" w:rsidRDefault="00A81345">
      <w:pPr>
        <w:pStyle w:val="BodyText"/>
        <w:rPr>
          <w:b/>
          <w:sz w:val="28"/>
        </w:rPr>
      </w:pPr>
    </w:p>
    <w:p w14:paraId="120EED7E" w14:textId="61B9BA9C" w:rsidR="00A81345" w:rsidRDefault="00A81345">
      <w:pPr>
        <w:pStyle w:val="BodyText"/>
        <w:rPr>
          <w:b/>
          <w:sz w:val="28"/>
        </w:rPr>
      </w:pPr>
    </w:p>
    <w:p w14:paraId="2D38E996" w14:textId="7B65DD14" w:rsidR="00A81345" w:rsidRDefault="00A81345">
      <w:pPr>
        <w:pStyle w:val="BodyText"/>
        <w:rPr>
          <w:b/>
          <w:sz w:val="28"/>
        </w:rPr>
      </w:pPr>
    </w:p>
    <w:p w14:paraId="0DDF544F" w14:textId="4BB220E8" w:rsidR="00A81345" w:rsidRDefault="00A81345">
      <w:pPr>
        <w:pStyle w:val="BodyText"/>
        <w:rPr>
          <w:b/>
          <w:sz w:val="28"/>
        </w:rPr>
      </w:pPr>
    </w:p>
    <w:p w14:paraId="0BA545B1" w14:textId="5E6F4FDF" w:rsidR="00A81345" w:rsidRDefault="00A81345">
      <w:pPr>
        <w:pStyle w:val="BodyText"/>
        <w:rPr>
          <w:b/>
          <w:sz w:val="28"/>
        </w:rPr>
      </w:pPr>
    </w:p>
    <w:p w14:paraId="6F57FD2B" w14:textId="1D984EB0" w:rsidR="00A81345" w:rsidRDefault="00A81345">
      <w:pPr>
        <w:pStyle w:val="BodyText"/>
        <w:rPr>
          <w:b/>
          <w:sz w:val="28"/>
        </w:rPr>
      </w:pPr>
    </w:p>
    <w:p w14:paraId="770F7759" w14:textId="27628120" w:rsidR="00A81345" w:rsidRDefault="00A81345">
      <w:pPr>
        <w:pStyle w:val="BodyText"/>
        <w:rPr>
          <w:b/>
          <w:sz w:val="28"/>
        </w:rPr>
      </w:pPr>
    </w:p>
    <w:p w14:paraId="090082C4" w14:textId="73A56062" w:rsidR="00A81345" w:rsidRDefault="00A81345">
      <w:pPr>
        <w:pStyle w:val="BodyText"/>
        <w:rPr>
          <w:b/>
          <w:sz w:val="28"/>
        </w:rPr>
      </w:pPr>
    </w:p>
    <w:p w14:paraId="2A6F7EDF" w14:textId="77777777" w:rsidR="00A81345" w:rsidRPr="00431B48" w:rsidRDefault="00A81345">
      <w:pPr>
        <w:pStyle w:val="BodyText"/>
        <w:rPr>
          <w:b/>
          <w:sz w:val="28"/>
        </w:rPr>
      </w:pPr>
    </w:p>
    <w:p w14:paraId="7D594493" w14:textId="77777777" w:rsidR="000D23EB" w:rsidRPr="00431B48" w:rsidRDefault="000122D8">
      <w:pPr>
        <w:pStyle w:val="BodyText"/>
        <w:spacing w:before="109" w:line="290" w:lineRule="auto"/>
        <w:ind w:left="100" w:right="164"/>
      </w:pPr>
      <w:r w:rsidRPr="00431B48">
        <w:br w:type="column"/>
      </w:r>
      <w:r w:rsidRPr="00431B48">
        <w:t xml:space="preserve">Modern slavery encompasses slavery, human trafficking, forced </w:t>
      </w:r>
      <w:proofErr w:type="spellStart"/>
      <w:r w:rsidRPr="00431B48">
        <w:t>labour</w:t>
      </w:r>
      <w:proofErr w:type="spellEnd"/>
      <w:r w:rsidRPr="00431B48">
        <w:t xml:space="preserve"> and domestic servitude. Traffickers and slave masters use whatever means they have at their disposal to coerce, deceive and force individuals into a life of abuse, servitude and inhumane treatment.</w:t>
      </w:r>
    </w:p>
    <w:p w14:paraId="64A8A51C" w14:textId="77777777" w:rsidR="000D23EB" w:rsidRPr="00431B48" w:rsidRDefault="000D23EB">
      <w:pPr>
        <w:pStyle w:val="BodyText"/>
        <w:rPr>
          <w:sz w:val="26"/>
        </w:rPr>
      </w:pPr>
    </w:p>
    <w:p w14:paraId="34D317D6" w14:textId="77777777" w:rsidR="000D23EB" w:rsidRPr="00431B48" w:rsidRDefault="000D23EB">
      <w:pPr>
        <w:pStyle w:val="BodyText"/>
        <w:rPr>
          <w:sz w:val="26"/>
        </w:rPr>
      </w:pPr>
    </w:p>
    <w:p w14:paraId="21463F77" w14:textId="77777777" w:rsidR="000D23EB" w:rsidRPr="00431B48" w:rsidRDefault="000D23EB">
      <w:pPr>
        <w:pStyle w:val="BodyText"/>
        <w:spacing w:before="10"/>
        <w:rPr>
          <w:sz w:val="35"/>
        </w:rPr>
      </w:pPr>
    </w:p>
    <w:p w14:paraId="1EFD8017" w14:textId="77777777" w:rsidR="000D23EB" w:rsidRPr="00431B48" w:rsidRDefault="000122D8">
      <w:pPr>
        <w:pStyle w:val="BodyText"/>
        <w:spacing w:line="288" w:lineRule="auto"/>
        <w:ind w:left="100" w:right="123"/>
      </w:pPr>
      <w:r w:rsidRPr="00431B48">
        <w:t xml:space="preserve">The aim of </w:t>
      </w:r>
      <w:proofErr w:type="spellStart"/>
      <w:r w:rsidRPr="00431B48">
        <w:t>radicalisation</w:t>
      </w:r>
      <w:proofErr w:type="spellEnd"/>
      <w:r w:rsidRPr="00431B48">
        <w:t xml:space="preserve"> is to attract people to a person’s way of reasoning, inspire new recruits, embed extreme views and persuade vulnerable individuals of the legitimacy of a cause.</w:t>
      </w:r>
    </w:p>
    <w:p w14:paraId="7E27AD3F" w14:textId="77777777" w:rsidR="000D23EB" w:rsidRPr="00431B48" w:rsidRDefault="000122D8">
      <w:pPr>
        <w:pStyle w:val="BodyText"/>
        <w:spacing w:before="6" w:line="295" w:lineRule="auto"/>
        <w:ind w:left="100" w:right="736"/>
      </w:pPr>
      <w:r w:rsidRPr="00431B48">
        <w:t>This may be direct through a relationship, or through social media.</w:t>
      </w:r>
    </w:p>
    <w:p w14:paraId="532E413F" w14:textId="77777777" w:rsidR="000D23EB" w:rsidRPr="00431B48" w:rsidRDefault="000D23EB">
      <w:pPr>
        <w:pStyle w:val="BodyText"/>
        <w:rPr>
          <w:sz w:val="26"/>
        </w:rPr>
      </w:pPr>
    </w:p>
    <w:p w14:paraId="3089F55D" w14:textId="77777777" w:rsidR="000D23EB" w:rsidRPr="00431B48" w:rsidRDefault="000D23EB">
      <w:pPr>
        <w:pStyle w:val="BodyText"/>
        <w:rPr>
          <w:sz w:val="26"/>
        </w:rPr>
      </w:pPr>
    </w:p>
    <w:p w14:paraId="3796C4B5" w14:textId="20A9728A" w:rsidR="000D23EB" w:rsidRDefault="000D23EB">
      <w:pPr>
        <w:pStyle w:val="BodyText"/>
        <w:spacing w:before="1"/>
        <w:rPr>
          <w:sz w:val="35"/>
        </w:rPr>
      </w:pPr>
    </w:p>
    <w:p w14:paraId="51177248" w14:textId="77777777" w:rsidR="00A81345" w:rsidRDefault="00A81345">
      <w:pPr>
        <w:pStyle w:val="BodyText"/>
        <w:spacing w:before="1"/>
        <w:rPr>
          <w:sz w:val="35"/>
        </w:rPr>
      </w:pPr>
    </w:p>
    <w:p w14:paraId="4E21D051" w14:textId="77777777" w:rsidR="00A81345" w:rsidRPr="00431B48" w:rsidRDefault="00A81345">
      <w:pPr>
        <w:pStyle w:val="BodyText"/>
        <w:spacing w:before="1"/>
        <w:rPr>
          <w:sz w:val="35"/>
        </w:rPr>
      </w:pPr>
    </w:p>
    <w:p w14:paraId="57807F93" w14:textId="77777777" w:rsidR="00A81345" w:rsidRDefault="00A81345" w:rsidP="00431B48">
      <w:pPr>
        <w:pStyle w:val="BodyText"/>
        <w:spacing w:line="290" w:lineRule="auto"/>
        <w:ind w:left="100" w:right="102"/>
      </w:pPr>
    </w:p>
    <w:p w14:paraId="79105633" w14:textId="77777777" w:rsidR="00A81345" w:rsidRDefault="00A81345" w:rsidP="00431B48">
      <w:pPr>
        <w:pStyle w:val="BodyText"/>
        <w:spacing w:line="290" w:lineRule="auto"/>
        <w:ind w:left="100" w:right="102"/>
      </w:pPr>
    </w:p>
    <w:p w14:paraId="45DC9983" w14:textId="77777777" w:rsidR="00A81345" w:rsidRDefault="00A81345" w:rsidP="00431B48">
      <w:pPr>
        <w:pStyle w:val="BodyText"/>
        <w:spacing w:line="290" w:lineRule="auto"/>
        <w:ind w:left="100" w:right="102"/>
      </w:pPr>
    </w:p>
    <w:p w14:paraId="27CDC3B2" w14:textId="77777777" w:rsidR="00A81345" w:rsidRDefault="00A81345" w:rsidP="00431B48">
      <w:pPr>
        <w:pStyle w:val="BodyText"/>
        <w:spacing w:line="290" w:lineRule="auto"/>
        <w:ind w:left="100" w:right="102"/>
      </w:pPr>
    </w:p>
    <w:p w14:paraId="7B0D84BE" w14:textId="77777777" w:rsidR="00A81345" w:rsidRDefault="00A81345" w:rsidP="00431B48">
      <w:pPr>
        <w:pStyle w:val="BodyText"/>
        <w:spacing w:line="290" w:lineRule="auto"/>
        <w:ind w:left="100" w:right="102"/>
      </w:pPr>
    </w:p>
    <w:p w14:paraId="32E875F1" w14:textId="77777777" w:rsidR="00A81345" w:rsidRDefault="00A81345" w:rsidP="00431B48">
      <w:pPr>
        <w:pStyle w:val="BodyText"/>
        <w:spacing w:line="290" w:lineRule="auto"/>
        <w:ind w:left="100" w:right="102"/>
      </w:pPr>
    </w:p>
    <w:p w14:paraId="21B3CEAB" w14:textId="77777777" w:rsidR="00A81345" w:rsidRDefault="00A81345" w:rsidP="00431B48">
      <w:pPr>
        <w:pStyle w:val="BodyText"/>
        <w:spacing w:line="290" w:lineRule="auto"/>
        <w:ind w:left="100" w:right="102"/>
      </w:pPr>
    </w:p>
    <w:p w14:paraId="10B5B7F9" w14:textId="77777777" w:rsidR="00A81345" w:rsidRDefault="00A81345" w:rsidP="00431B48">
      <w:pPr>
        <w:pStyle w:val="BodyText"/>
        <w:spacing w:line="290" w:lineRule="auto"/>
        <w:ind w:left="100" w:right="102"/>
      </w:pPr>
    </w:p>
    <w:p w14:paraId="375656DA" w14:textId="77777777" w:rsidR="00A81345" w:rsidRDefault="00A81345" w:rsidP="00431B48">
      <w:pPr>
        <w:pStyle w:val="BodyText"/>
        <w:spacing w:line="290" w:lineRule="auto"/>
        <w:ind w:left="100" w:right="102"/>
      </w:pPr>
    </w:p>
    <w:p w14:paraId="161BA7C4" w14:textId="77777777" w:rsidR="00A81345" w:rsidRDefault="00A81345" w:rsidP="00431B48">
      <w:pPr>
        <w:pStyle w:val="BodyText"/>
        <w:spacing w:line="290" w:lineRule="auto"/>
        <w:ind w:left="100" w:right="102"/>
      </w:pPr>
    </w:p>
    <w:p w14:paraId="1616F9A8" w14:textId="77777777" w:rsidR="00A81345" w:rsidRDefault="00A81345" w:rsidP="00431B48">
      <w:pPr>
        <w:pStyle w:val="BodyText"/>
        <w:spacing w:line="290" w:lineRule="auto"/>
        <w:ind w:left="100" w:right="102"/>
      </w:pPr>
    </w:p>
    <w:p w14:paraId="2AA55D8C" w14:textId="77777777" w:rsidR="00A81345" w:rsidRDefault="00A81345" w:rsidP="00431B48">
      <w:pPr>
        <w:pStyle w:val="BodyText"/>
        <w:spacing w:line="290" w:lineRule="auto"/>
        <w:ind w:left="100" w:right="102"/>
      </w:pPr>
    </w:p>
    <w:p w14:paraId="70548E9A" w14:textId="77777777" w:rsidR="00A81345" w:rsidRDefault="00A81345" w:rsidP="00431B48">
      <w:pPr>
        <w:pStyle w:val="BodyText"/>
        <w:spacing w:line="290" w:lineRule="auto"/>
        <w:ind w:left="100" w:right="102"/>
      </w:pPr>
    </w:p>
    <w:p w14:paraId="61E0F6D3" w14:textId="77777777" w:rsidR="00A81345" w:rsidRDefault="00A81345" w:rsidP="00431B48">
      <w:pPr>
        <w:pStyle w:val="BodyText"/>
        <w:spacing w:line="290" w:lineRule="auto"/>
        <w:ind w:left="100" w:right="102"/>
      </w:pPr>
    </w:p>
    <w:p w14:paraId="11054708" w14:textId="77777777" w:rsidR="00A81345" w:rsidRDefault="00A81345" w:rsidP="00431B48">
      <w:pPr>
        <w:pStyle w:val="BodyText"/>
        <w:spacing w:line="290" w:lineRule="auto"/>
        <w:ind w:left="100" w:right="102"/>
      </w:pPr>
    </w:p>
    <w:p w14:paraId="39719E92" w14:textId="77777777" w:rsidR="00A81345" w:rsidRDefault="00A81345" w:rsidP="00431B48">
      <w:pPr>
        <w:pStyle w:val="BodyText"/>
        <w:spacing w:line="290" w:lineRule="auto"/>
        <w:ind w:left="100" w:right="102"/>
      </w:pPr>
    </w:p>
    <w:p w14:paraId="7985C8F6" w14:textId="77777777" w:rsidR="00A81345" w:rsidRDefault="00A81345" w:rsidP="00431B48">
      <w:pPr>
        <w:pStyle w:val="BodyText"/>
        <w:spacing w:line="290" w:lineRule="auto"/>
        <w:ind w:left="100" w:right="102"/>
      </w:pPr>
    </w:p>
    <w:p w14:paraId="4AE53698" w14:textId="77777777" w:rsidR="00A81345" w:rsidRDefault="00A81345" w:rsidP="00431B48">
      <w:pPr>
        <w:pStyle w:val="BodyText"/>
        <w:spacing w:line="290" w:lineRule="auto"/>
        <w:ind w:left="100" w:right="102"/>
      </w:pPr>
    </w:p>
    <w:p w14:paraId="12F54607" w14:textId="77777777" w:rsidR="00A81345" w:rsidRDefault="00A81345" w:rsidP="00431B48">
      <w:pPr>
        <w:pStyle w:val="BodyText"/>
        <w:spacing w:line="290" w:lineRule="auto"/>
        <w:ind w:left="100" w:right="102"/>
      </w:pPr>
    </w:p>
    <w:p w14:paraId="2C6954FF" w14:textId="77777777" w:rsidR="00A81345" w:rsidRDefault="00A81345" w:rsidP="00431B48">
      <w:pPr>
        <w:pStyle w:val="BodyText"/>
        <w:spacing w:line="290" w:lineRule="auto"/>
        <w:ind w:left="100" w:right="102"/>
      </w:pPr>
    </w:p>
    <w:p w14:paraId="5C9DD6B1" w14:textId="77777777" w:rsidR="00A81345" w:rsidRDefault="00A81345" w:rsidP="00431B48">
      <w:pPr>
        <w:pStyle w:val="BodyText"/>
        <w:spacing w:line="290" w:lineRule="auto"/>
        <w:ind w:left="100" w:right="102"/>
      </w:pPr>
    </w:p>
    <w:p w14:paraId="683196F4" w14:textId="77777777" w:rsidR="000122D8" w:rsidRDefault="000122D8" w:rsidP="00431B48">
      <w:pPr>
        <w:pStyle w:val="BodyText"/>
        <w:spacing w:line="290" w:lineRule="auto"/>
        <w:ind w:left="100" w:right="102"/>
      </w:pPr>
    </w:p>
    <w:p w14:paraId="3C739B41" w14:textId="125DFC83" w:rsidR="00A81345" w:rsidRDefault="0061760B" w:rsidP="00431B48">
      <w:pPr>
        <w:pStyle w:val="BodyText"/>
        <w:spacing w:line="290" w:lineRule="auto"/>
        <w:ind w:left="100" w:right="102"/>
      </w:pPr>
      <w:r>
        <w:rPr>
          <w:noProof/>
        </w:rPr>
        <w:pict w14:anchorId="3C502C0E">
          <v:shape id="_x0000_s2055" type="#_x0000_t202" style="position:absolute;left:0;text-align:left;margin-left:-4.35pt;margin-top:44.35pt;width:101.15pt;height:68.7pt;z-index:2516608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55">
              <w:txbxContent>
                <w:p w14:paraId="044DC516" w14:textId="2866E92E" w:rsidR="00A81345" w:rsidRPr="000122D8" w:rsidRDefault="000122D8" w:rsidP="00A81345">
                  <w:pPr>
                    <w:rPr>
                      <w:b/>
                      <w:bCs/>
                      <w:sz w:val="24"/>
                      <w:szCs w:val="24"/>
                      <w:lang w:val="en-GB"/>
                    </w:rPr>
                  </w:pPr>
                  <w:r>
                    <w:rPr>
                      <w:b/>
                      <w:bCs/>
                      <w:sz w:val="24"/>
                      <w:szCs w:val="24"/>
                      <w:lang w:val="en-GB"/>
                    </w:rPr>
                    <w:t>Rehabilitation of Offenders Act 1974</w:t>
                  </w:r>
                </w:p>
              </w:txbxContent>
            </v:textbox>
            <w10:wrap type="square"/>
          </v:shape>
        </w:pict>
      </w:r>
    </w:p>
    <w:p w14:paraId="42E516D2" w14:textId="4DCA9D97" w:rsidR="00A81345" w:rsidRDefault="00A81345" w:rsidP="00431B48">
      <w:pPr>
        <w:pStyle w:val="BodyText"/>
        <w:spacing w:line="290" w:lineRule="auto"/>
        <w:ind w:left="100" w:right="102"/>
      </w:pPr>
    </w:p>
    <w:p w14:paraId="1EA1FD1A" w14:textId="77777777" w:rsidR="00A81345" w:rsidRDefault="00A81345" w:rsidP="00431B48">
      <w:pPr>
        <w:pStyle w:val="BodyText"/>
        <w:spacing w:line="290" w:lineRule="auto"/>
        <w:ind w:left="100" w:right="102"/>
      </w:pPr>
    </w:p>
    <w:p w14:paraId="5385B571" w14:textId="77777777" w:rsidR="00A81345" w:rsidRDefault="00A81345" w:rsidP="00431B48">
      <w:pPr>
        <w:pStyle w:val="BodyText"/>
        <w:spacing w:line="290" w:lineRule="auto"/>
        <w:ind w:left="100" w:right="102"/>
      </w:pPr>
    </w:p>
    <w:p w14:paraId="38384B63" w14:textId="77777777" w:rsidR="00A81345" w:rsidRDefault="00A81345" w:rsidP="00431B48">
      <w:pPr>
        <w:pStyle w:val="BodyText"/>
        <w:spacing w:line="290" w:lineRule="auto"/>
        <w:ind w:left="100" w:right="102"/>
      </w:pPr>
    </w:p>
    <w:p w14:paraId="36959FBA" w14:textId="13B11B25" w:rsidR="00A81345" w:rsidRDefault="00A81345" w:rsidP="00431B48">
      <w:pPr>
        <w:pStyle w:val="BodyText"/>
        <w:spacing w:line="290" w:lineRule="auto"/>
        <w:ind w:left="100" w:right="102"/>
      </w:pPr>
    </w:p>
    <w:p w14:paraId="76DBBE15" w14:textId="77777777" w:rsidR="00A81345" w:rsidRDefault="00A81345" w:rsidP="00431B48">
      <w:pPr>
        <w:pStyle w:val="BodyText"/>
        <w:spacing w:line="290" w:lineRule="auto"/>
        <w:ind w:left="100" w:right="102"/>
      </w:pPr>
    </w:p>
    <w:p w14:paraId="22A75AF6" w14:textId="77777777" w:rsidR="00A81345" w:rsidRDefault="00A81345" w:rsidP="00431B48">
      <w:pPr>
        <w:pStyle w:val="BodyText"/>
        <w:spacing w:line="290" w:lineRule="auto"/>
        <w:ind w:left="100" w:right="102"/>
      </w:pPr>
    </w:p>
    <w:p w14:paraId="44349E4D" w14:textId="77777777" w:rsidR="00A81345" w:rsidRDefault="00A81345" w:rsidP="00431B48">
      <w:pPr>
        <w:pStyle w:val="BodyText"/>
        <w:spacing w:line="290" w:lineRule="auto"/>
        <w:ind w:left="100" w:right="102"/>
      </w:pPr>
    </w:p>
    <w:p w14:paraId="573A7E8E" w14:textId="77777777" w:rsidR="00A81345" w:rsidRDefault="00A81345" w:rsidP="00431B48">
      <w:pPr>
        <w:pStyle w:val="BodyText"/>
        <w:spacing w:line="290" w:lineRule="auto"/>
        <w:ind w:left="100" w:right="102"/>
      </w:pPr>
    </w:p>
    <w:p w14:paraId="38501042" w14:textId="77777777" w:rsidR="00A81345" w:rsidRDefault="00A81345" w:rsidP="00431B48">
      <w:pPr>
        <w:pStyle w:val="BodyText"/>
        <w:spacing w:line="290" w:lineRule="auto"/>
        <w:ind w:left="100" w:right="102"/>
      </w:pPr>
    </w:p>
    <w:p w14:paraId="13A82DEE" w14:textId="77777777" w:rsidR="00A81345" w:rsidRDefault="00A81345" w:rsidP="00431B48">
      <w:pPr>
        <w:pStyle w:val="BodyText"/>
        <w:spacing w:line="290" w:lineRule="auto"/>
        <w:ind w:left="100" w:right="102"/>
      </w:pPr>
    </w:p>
    <w:p w14:paraId="57084D83" w14:textId="77777777" w:rsidR="00A81345" w:rsidRDefault="00A81345" w:rsidP="00431B48">
      <w:pPr>
        <w:pStyle w:val="BodyText"/>
        <w:spacing w:line="290" w:lineRule="auto"/>
        <w:ind w:left="100" w:right="102"/>
      </w:pPr>
    </w:p>
    <w:p w14:paraId="3127B608" w14:textId="77777777" w:rsidR="00A81345" w:rsidRDefault="00A81345" w:rsidP="00431B48">
      <w:pPr>
        <w:pStyle w:val="BodyText"/>
        <w:spacing w:line="290" w:lineRule="auto"/>
        <w:ind w:left="100" w:right="102"/>
      </w:pPr>
    </w:p>
    <w:p w14:paraId="3686CADB" w14:textId="77777777" w:rsidR="00A81345" w:rsidRDefault="00A81345" w:rsidP="00431B48">
      <w:pPr>
        <w:pStyle w:val="BodyText"/>
        <w:spacing w:line="290" w:lineRule="auto"/>
        <w:ind w:left="100" w:right="102"/>
      </w:pPr>
    </w:p>
    <w:p w14:paraId="49A1A405" w14:textId="77777777" w:rsidR="00A81345" w:rsidRDefault="00A81345" w:rsidP="00431B48">
      <w:pPr>
        <w:pStyle w:val="BodyText"/>
        <w:spacing w:line="290" w:lineRule="auto"/>
        <w:ind w:left="100" w:right="102"/>
      </w:pPr>
    </w:p>
    <w:p w14:paraId="78CCB50A" w14:textId="77777777" w:rsidR="00A81345" w:rsidRDefault="00A81345" w:rsidP="00431B48">
      <w:pPr>
        <w:pStyle w:val="BodyText"/>
        <w:spacing w:line="290" w:lineRule="auto"/>
        <w:ind w:left="100" w:right="102"/>
      </w:pPr>
    </w:p>
    <w:p w14:paraId="1CCB564D" w14:textId="77777777" w:rsidR="00A81345" w:rsidRDefault="00A81345" w:rsidP="00431B48">
      <w:pPr>
        <w:pStyle w:val="BodyText"/>
        <w:spacing w:line="290" w:lineRule="auto"/>
        <w:ind w:left="100" w:right="102"/>
      </w:pPr>
    </w:p>
    <w:p w14:paraId="71580E5A" w14:textId="77777777" w:rsidR="00A81345" w:rsidRDefault="00A81345" w:rsidP="00431B48">
      <w:pPr>
        <w:pStyle w:val="BodyText"/>
        <w:spacing w:line="290" w:lineRule="auto"/>
        <w:ind w:left="100" w:right="102"/>
      </w:pPr>
    </w:p>
    <w:p w14:paraId="508AA319" w14:textId="77777777" w:rsidR="00A81345" w:rsidRDefault="00A81345" w:rsidP="00431B48">
      <w:pPr>
        <w:pStyle w:val="BodyText"/>
        <w:spacing w:line="290" w:lineRule="auto"/>
        <w:ind w:left="100" w:right="102"/>
      </w:pPr>
    </w:p>
    <w:p w14:paraId="1AEA030E" w14:textId="77777777" w:rsidR="00A81345" w:rsidRDefault="00A81345" w:rsidP="00431B48">
      <w:pPr>
        <w:pStyle w:val="BodyText"/>
        <w:spacing w:line="290" w:lineRule="auto"/>
        <w:ind w:left="100" w:right="102"/>
      </w:pPr>
    </w:p>
    <w:p w14:paraId="47C5FA11" w14:textId="77777777" w:rsidR="00A81345" w:rsidRDefault="00A81345" w:rsidP="00431B48">
      <w:pPr>
        <w:pStyle w:val="BodyText"/>
        <w:spacing w:line="290" w:lineRule="auto"/>
        <w:ind w:left="100" w:right="102"/>
      </w:pPr>
    </w:p>
    <w:p w14:paraId="42B5C429" w14:textId="6D5080B1" w:rsidR="00A81345" w:rsidRDefault="00A81345" w:rsidP="00431B48">
      <w:pPr>
        <w:pStyle w:val="BodyText"/>
        <w:spacing w:line="290" w:lineRule="auto"/>
        <w:ind w:left="100" w:right="102"/>
      </w:pPr>
    </w:p>
    <w:p w14:paraId="104DF20F" w14:textId="77777777" w:rsidR="00A81345" w:rsidRDefault="00A81345" w:rsidP="00431B48">
      <w:pPr>
        <w:pStyle w:val="BodyText"/>
        <w:spacing w:line="290" w:lineRule="auto"/>
        <w:ind w:left="100" w:right="102"/>
      </w:pPr>
    </w:p>
    <w:p w14:paraId="1083A976" w14:textId="4536077C" w:rsidR="00A81345" w:rsidRDefault="00A81345" w:rsidP="00431B48">
      <w:pPr>
        <w:pStyle w:val="BodyText"/>
        <w:spacing w:line="290" w:lineRule="auto"/>
        <w:ind w:left="100" w:right="102"/>
      </w:pPr>
    </w:p>
    <w:p w14:paraId="38A39A5A" w14:textId="44C9FD1C" w:rsidR="00A81345" w:rsidRDefault="0061760B" w:rsidP="00431B48">
      <w:pPr>
        <w:pStyle w:val="BodyText"/>
        <w:spacing w:line="290" w:lineRule="auto"/>
        <w:ind w:left="100" w:right="102"/>
      </w:pPr>
      <w:r>
        <w:rPr>
          <w:noProof/>
        </w:rPr>
        <w:pict w14:anchorId="3C502C0E">
          <v:shape id="_x0000_s2056" type="#_x0000_t202" style="position:absolute;left:0;text-align:left;margin-left:-4.35pt;margin-top:33.4pt;width:101.15pt;height:68.7pt;z-index:251661824;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56">
              <w:txbxContent>
                <w:p w14:paraId="2C2869F9" w14:textId="092B27D9" w:rsidR="000122D8" w:rsidRPr="000122D8" w:rsidRDefault="000122D8" w:rsidP="000122D8">
                  <w:pPr>
                    <w:rPr>
                      <w:b/>
                      <w:bCs/>
                      <w:sz w:val="24"/>
                      <w:szCs w:val="24"/>
                      <w:lang w:val="en-GB"/>
                    </w:rPr>
                  </w:pPr>
                  <w:r>
                    <w:rPr>
                      <w:b/>
                      <w:bCs/>
                      <w:sz w:val="24"/>
                      <w:szCs w:val="24"/>
                      <w:lang w:val="en-GB"/>
                    </w:rPr>
                    <w:t>The Human Rights Act 1998</w:t>
                  </w:r>
                </w:p>
              </w:txbxContent>
            </v:textbox>
            <w10:wrap type="square"/>
          </v:shape>
        </w:pict>
      </w:r>
    </w:p>
    <w:p w14:paraId="0004AAD4" w14:textId="77777777" w:rsidR="00A81345" w:rsidRDefault="00A81345" w:rsidP="00431B48">
      <w:pPr>
        <w:pStyle w:val="BodyText"/>
        <w:spacing w:line="290" w:lineRule="auto"/>
        <w:ind w:left="100" w:right="102"/>
      </w:pPr>
    </w:p>
    <w:p w14:paraId="615F2D22" w14:textId="77777777" w:rsidR="00A81345" w:rsidRDefault="00A81345" w:rsidP="00431B48">
      <w:pPr>
        <w:pStyle w:val="BodyText"/>
        <w:spacing w:line="290" w:lineRule="auto"/>
        <w:ind w:left="100" w:right="102"/>
      </w:pPr>
    </w:p>
    <w:p w14:paraId="665B7E41" w14:textId="77777777" w:rsidR="00A81345" w:rsidRDefault="00A81345" w:rsidP="00431B48">
      <w:pPr>
        <w:pStyle w:val="BodyText"/>
        <w:spacing w:line="290" w:lineRule="auto"/>
        <w:ind w:left="100" w:right="102"/>
      </w:pPr>
    </w:p>
    <w:p w14:paraId="3B7BBB94" w14:textId="77777777" w:rsidR="00A81345" w:rsidRDefault="00A81345" w:rsidP="00431B48">
      <w:pPr>
        <w:pStyle w:val="BodyText"/>
        <w:spacing w:line="290" w:lineRule="auto"/>
        <w:ind w:left="100" w:right="102"/>
      </w:pPr>
    </w:p>
    <w:p w14:paraId="388D32FA" w14:textId="77777777" w:rsidR="00A81345" w:rsidRDefault="00A81345" w:rsidP="00431B48">
      <w:pPr>
        <w:pStyle w:val="BodyText"/>
        <w:spacing w:line="290" w:lineRule="auto"/>
        <w:ind w:left="100" w:right="102"/>
      </w:pPr>
    </w:p>
    <w:p w14:paraId="674FD459" w14:textId="77777777" w:rsidR="00A81345" w:rsidRDefault="00A81345" w:rsidP="00431B48">
      <w:pPr>
        <w:pStyle w:val="BodyText"/>
        <w:spacing w:line="290" w:lineRule="auto"/>
        <w:ind w:left="100" w:right="102"/>
      </w:pPr>
    </w:p>
    <w:p w14:paraId="141E3D29" w14:textId="77777777" w:rsidR="00A81345" w:rsidRDefault="00A81345" w:rsidP="00431B48">
      <w:pPr>
        <w:pStyle w:val="BodyText"/>
        <w:spacing w:line="290" w:lineRule="auto"/>
        <w:ind w:left="100" w:right="102"/>
      </w:pPr>
    </w:p>
    <w:p w14:paraId="62DAFC5E" w14:textId="77777777" w:rsidR="00A81345" w:rsidRDefault="00A81345" w:rsidP="00431B48">
      <w:pPr>
        <w:pStyle w:val="BodyText"/>
        <w:spacing w:line="290" w:lineRule="auto"/>
        <w:ind w:left="100" w:right="102"/>
      </w:pPr>
    </w:p>
    <w:p w14:paraId="4206E3DB" w14:textId="77777777" w:rsidR="00A81345" w:rsidRDefault="00A81345" w:rsidP="00431B48">
      <w:pPr>
        <w:pStyle w:val="BodyText"/>
        <w:spacing w:line="290" w:lineRule="auto"/>
        <w:ind w:left="100" w:right="102"/>
      </w:pPr>
    </w:p>
    <w:p w14:paraId="0E649A17" w14:textId="77777777" w:rsidR="00A81345" w:rsidRDefault="00A81345" w:rsidP="00431B48">
      <w:pPr>
        <w:pStyle w:val="BodyText"/>
        <w:spacing w:line="290" w:lineRule="auto"/>
        <w:ind w:left="100" w:right="102"/>
      </w:pPr>
    </w:p>
    <w:p w14:paraId="4D68215D" w14:textId="77777777" w:rsidR="00A81345" w:rsidRDefault="00A81345" w:rsidP="00431B48">
      <w:pPr>
        <w:pStyle w:val="BodyText"/>
        <w:spacing w:line="290" w:lineRule="auto"/>
        <w:ind w:left="100" w:right="102"/>
      </w:pPr>
    </w:p>
    <w:p w14:paraId="323C8C2A" w14:textId="77777777" w:rsidR="00A81345" w:rsidRDefault="00A81345" w:rsidP="00431B48">
      <w:pPr>
        <w:pStyle w:val="BodyText"/>
        <w:spacing w:line="290" w:lineRule="auto"/>
        <w:ind w:left="100" w:right="102"/>
      </w:pPr>
    </w:p>
    <w:p w14:paraId="5D0D9FEE" w14:textId="77777777" w:rsidR="00A81345" w:rsidRDefault="00A81345" w:rsidP="00431B48">
      <w:pPr>
        <w:pStyle w:val="BodyText"/>
        <w:spacing w:line="290" w:lineRule="auto"/>
        <w:ind w:left="100" w:right="102"/>
      </w:pPr>
    </w:p>
    <w:p w14:paraId="723C3A6A" w14:textId="77777777" w:rsidR="00A81345" w:rsidRDefault="00A81345" w:rsidP="00431B48">
      <w:pPr>
        <w:pStyle w:val="BodyText"/>
        <w:spacing w:line="290" w:lineRule="auto"/>
        <w:ind w:left="100" w:right="102"/>
      </w:pPr>
    </w:p>
    <w:p w14:paraId="4BA8DE57" w14:textId="3883D59D" w:rsidR="00A81345" w:rsidRDefault="000122D8" w:rsidP="000122D8">
      <w:pPr>
        <w:pStyle w:val="BodyText"/>
        <w:spacing w:line="290" w:lineRule="auto"/>
        <w:ind w:right="102"/>
      </w:pPr>
      <w:r w:rsidRPr="00431B48">
        <w:t xml:space="preserve">Once a caution or conviction has become spent under the 1974 Act, a person does not have to reveal it or admit its existence in most circumstances. Unless an exception applies due to the position being eligible for DBS checks, then spent cautions and convictions need not be disclosed when filling in a form, or at a job interview. An employer cannot refuse to employ someone (or dismiss someone) because he or she has a spent caution or conviction unless an exception applies. </w:t>
      </w:r>
    </w:p>
    <w:p w14:paraId="7F9CD8A1" w14:textId="77777777" w:rsidR="00A81345" w:rsidRDefault="00A81345" w:rsidP="00431B48">
      <w:pPr>
        <w:pStyle w:val="BodyText"/>
        <w:spacing w:line="290" w:lineRule="auto"/>
        <w:ind w:left="100" w:right="102"/>
      </w:pPr>
    </w:p>
    <w:p w14:paraId="7FF5919E" w14:textId="72CC1A85" w:rsidR="00A81345" w:rsidRDefault="000122D8" w:rsidP="00A81345">
      <w:pPr>
        <w:pStyle w:val="BodyText"/>
        <w:spacing w:line="290" w:lineRule="auto"/>
        <w:ind w:left="100" w:right="102"/>
      </w:pPr>
      <w:r w:rsidRPr="00431B48">
        <w:t>The exceptions for</w:t>
      </w:r>
      <w:r w:rsidR="00A81345" w:rsidRPr="00A81345">
        <w:t xml:space="preserve"> declaring spent cautions and convictions are listed in the Rehabilitation of Offenders Act 1974 (Exceptions) Order 1975. An employer should be able to say if an exception applies and, if so, where it can be found on the Exceptions Order.</w:t>
      </w:r>
    </w:p>
    <w:p w14:paraId="58D5FC29" w14:textId="77777777" w:rsidR="00A81345" w:rsidRDefault="00A81345" w:rsidP="00431B48">
      <w:pPr>
        <w:pStyle w:val="BodyText"/>
        <w:spacing w:line="290" w:lineRule="auto"/>
        <w:ind w:left="100" w:right="102"/>
      </w:pPr>
    </w:p>
    <w:p w14:paraId="72091ACF" w14:textId="58B65D0B" w:rsidR="000122D8" w:rsidRDefault="00A81345" w:rsidP="000122D8">
      <w:pPr>
        <w:pStyle w:val="BodyText"/>
        <w:spacing w:line="290" w:lineRule="auto"/>
        <w:ind w:left="100" w:right="102"/>
      </w:pPr>
      <w:r w:rsidRPr="00A81345">
        <w:t>Filtering is the term that the DBS uses to describe the process which will identify protected convictions and cautions and ensure that they are not disclosed on DBS certificates.</w:t>
      </w:r>
      <w:r w:rsidR="000122D8">
        <w:br/>
      </w:r>
      <w:r w:rsidR="000122D8">
        <w:br/>
      </w:r>
      <w:r w:rsidR="000122D8" w:rsidRPr="000122D8">
        <w:t>Offences which are serious and which relate to sexual offending, violent offending and/or are relevant to safeguarding people in vulnerable circumstances will never be filtered.</w:t>
      </w:r>
      <w:r w:rsidR="000122D8">
        <w:br/>
      </w:r>
    </w:p>
    <w:p w14:paraId="2ADBF468" w14:textId="77777777" w:rsidR="000122D8" w:rsidRDefault="000122D8" w:rsidP="00431B48">
      <w:pPr>
        <w:pStyle w:val="BodyText"/>
        <w:spacing w:line="290" w:lineRule="auto"/>
        <w:ind w:left="100" w:right="102"/>
      </w:pPr>
    </w:p>
    <w:p w14:paraId="58556EC8" w14:textId="25489747" w:rsidR="000122D8" w:rsidRDefault="000122D8" w:rsidP="00431B48">
      <w:pPr>
        <w:pStyle w:val="BodyText"/>
        <w:spacing w:line="290" w:lineRule="auto"/>
        <w:ind w:left="100" w:right="102"/>
      </w:pPr>
      <w:r w:rsidRPr="000122D8">
        <w:t>The Human Rights Act 1998 (the Act or the HRA) sets out the fundamental rights and freedoms that everyone in the UK is entitled to.</w:t>
      </w:r>
    </w:p>
    <w:p w14:paraId="5798D9FA" w14:textId="77777777" w:rsidR="000122D8" w:rsidRDefault="000122D8" w:rsidP="00431B48">
      <w:pPr>
        <w:pStyle w:val="BodyText"/>
        <w:spacing w:line="290" w:lineRule="auto"/>
        <w:ind w:left="100" w:right="102"/>
      </w:pPr>
    </w:p>
    <w:p w14:paraId="79F4DC88" w14:textId="77777777" w:rsidR="000122D8" w:rsidRDefault="000122D8" w:rsidP="00431B48">
      <w:pPr>
        <w:pStyle w:val="BodyText"/>
        <w:spacing w:line="290" w:lineRule="auto"/>
        <w:ind w:left="100" w:right="102"/>
      </w:pPr>
    </w:p>
    <w:p w14:paraId="14771724" w14:textId="1DEF21EA" w:rsidR="000122D8" w:rsidRPr="00431B48" w:rsidRDefault="000122D8" w:rsidP="00431B48">
      <w:pPr>
        <w:pStyle w:val="BodyText"/>
        <w:spacing w:line="290" w:lineRule="auto"/>
        <w:ind w:left="100" w:right="102"/>
        <w:sectPr w:rsidR="000122D8" w:rsidRPr="00431B48">
          <w:type w:val="continuous"/>
          <w:pgSz w:w="11900" w:h="16840"/>
          <w:pgMar w:top="1180" w:right="1100" w:bottom="1400" w:left="1100" w:header="720" w:footer="720" w:gutter="0"/>
          <w:cols w:num="2" w:space="720" w:equalWidth="0">
            <w:col w:w="1932" w:space="668"/>
            <w:col w:w="7100"/>
          </w:cols>
        </w:sectPr>
      </w:pPr>
    </w:p>
    <w:p w14:paraId="47CA06C8" w14:textId="77777777" w:rsidR="000D23EB" w:rsidRPr="00431B48" w:rsidRDefault="000D23EB">
      <w:pPr>
        <w:pStyle w:val="BodyText"/>
        <w:rPr>
          <w:sz w:val="20"/>
        </w:rPr>
      </w:pPr>
    </w:p>
    <w:p w14:paraId="2C73019F" w14:textId="77777777" w:rsidR="000D23EB" w:rsidRPr="00431B48" w:rsidRDefault="000D23EB">
      <w:pPr>
        <w:pStyle w:val="BodyText"/>
        <w:rPr>
          <w:sz w:val="20"/>
        </w:rPr>
      </w:pPr>
    </w:p>
    <w:p w14:paraId="5311F7DE" w14:textId="77777777" w:rsidR="000D23EB" w:rsidRPr="00431B48" w:rsidRDefault="000D23EB">
      <w:pPr>
        <w:pStyle w:val="BodyText"/>
        <w:rPr>
          <w:sz w:val="20"/>
        </w:rPr>
      </w:pPr>
    </w:p>
    <w:p w14:paraId="735EE7F2" w14:textId="77777777" w:rsidR="000D23EB" w:rsidRPr="00431B48" w:rsidRDefault="000D23EB">
      <w:pPr>
        <w:pStyle w:val="BodyText"/>
        <w:spacing w:before="1"/>
        <w:rPr>
          <w:sz w:val="19"/>
        </w:rPr>
      </w:pPr>
    </w:p>
    <w:p w14:paraId="1AF52920" w14:textId="77777777" w:rsidR="000D23EB" w:rsidRPr="00431B48" w:rsidRDefault="000D23EB">
      <w:pPr>
        <w:rPr>
          <w:sz w:val="19"/>
        </w:rPr>
        <w:sectPr w:rsidR="000D23EB" w:rsidRPr="00431B48">
          <w:pgSz w:w="11900" w:h="16840"/>
          <w:pgMar w:top="1180" w:right="1100" w:bottom="1400" w:left="1100" w:header="960" w:footer="1210" w:gutter="0"/>
          <w:cols w:space="720"/>
        </w:sectPr>
      </w:pPr>
    </w:p>
    <w:p w14:paraId="4A376DFE" w14:textId="77777777" w:rsidR="000D23EB" w:rsidRPr="00431B48" w:rsidRDefault="000122D8">
      <w:pPr>
        <w:pStyle w:val="Heading1"/>
        <w:spacing w:before="193" w:line="242" w:lineRule="auto"/>
        <w:ind w:right="29"/>
      </w:pPr>
      <w:r w:rsidRPr="00431B48">
        <w:t xml:space="preserve">Data Protection </w:t>
      </w:r>
      <w:r w:rsidRPr="00431B48">
        <w:rPr>
          <w:spacing w:val="-6"/>
        </w:rPr>
        <w:t xml:space="preserve">Act </w:t>
      </w:r>
      <w:r w:rsidRPr="00431B48">
        <w:t>2018</w:t>
      </w:r>
    </w:p>
    <w:p w14:paraId="4B837A0C" w14:textId="77777777" w:rsidR="000D23EB" w:rsidRPr="00431B48" w:rsidRDefault="000D23EB">
      <w:pPr>
        <w:pStyle w:val="BodyText"/>
        <w:rPr>
          <w:b/>
          <w:sz w:val="26"/>
        </w:rPr>
      </w:pPr>
    </w:p>
    <w:p w14:paraId="0DEDF0DC" w14:textId="77777777" w:rsidR="000D23EB" w:rsidRPr="00431B48" w:rsidRDefault="000D23EB">
      <w:pPr>
        <w:pStyle w:val="BodyText"/>
        <w:rPr>
          <w:b/>
          <w:sz w:val="26"/>
        </w:rPr>
      </w:pPr>
    </w:p>
    <w:p w14:paraId="7C3DDADF" w14:textId="77777777" w:rsidR="000D23EB" w:rsidRPr="00431B48" w:rsidRDefault="000D23EB">
      <w:pPr>
        <w:pStyle w:val="BodyText"/>
        <w:rPr>
          <w:b/>
          <w:sz w:val="26"/>
        </w:rPr>
      </w:pPr>
    </w:p>
    <w:p w14:paraId="6C028AA1" w14:textId="77777777" w:rsidR="000D23EB" w:rsidRPr="00431B48" w:rsidRDefault="000D23EB">
      <w:pPr>
        <w:pStyle w:val="BodyText"/>
        <w:rPr>
          <w:b/>
          <w:sz w:val="26"/>
        </w:rPr>
      </w:pPr>
    </w:p>
    <w:p w14:paraId="388D38CD" w14:textId="77777777" w:rsidR="000D23EB" w:rsidRPr="00431B48" w:rsidRDefault="000D23EB">
      <w:pPr>
        <w:pStyle w:val="BodyText"/>
        <w:rPr>
          <w:b/>
          <w:sz w:val="26"/>
        </w:rPr>
      </w:pPr>
    </w:p>
    <w:p w14:paraId="1CC8E31F" w14:textId="77777777" w:rsidR="000D23EB" w:rsidRPr="00431B48" w:rsidRDefault="000D23EB">
      <w:pPr>
        <w:pStyle w:val="BodyText"/>
        <w:rPr>
          <w:b/>
          <w:sz w:val="26"/>
        </w:rPr>
      </w:pPr>
    </w:p>
    <w:p w14:paraId="61BDDD26" w14:textId="77777777" w:rsidR="000D23EB" w:rsidRPr="00431B48" w:rsidRDefault="000D23EB">
      <w:pPr>
        <w:pStyle w:val="BodyText"/>
        <w:rPr>
          <w:b/>
          <w:sz w:val="26"/>
        </w:rPr>
      </w:pPr>
    </w:p>
    <w:p w14:paraId="4BD9E02F" w14:textId="77777777" w:rsidR="000D23EB" w:rsidRPr="00431B48" w:rsidRDefault="000D23EB">
      <w:pPr>
        <w:pStyle w:val="BodyText"/>
        <w:rPr>
          <w:b/>
          <w:sz w:val="26"/>
        </w:rPr>
      </w:pPr>
    </w:p>
    <w:p w14:paraId="007A3BB4" w14:textId="77777777" w:rsidR="000D23EB" w:rsidRPr="00431B48" w:rsidRDefault="000D23EB">
      <w:pPr>
        <w:pStyle w:val="BodyText"/>
        <w:rPr>
          <w:b/>
          <w:sz w:val="26"/>
        </w:rPr>
      </w:pPr>
    </w:p>
    <w:p w14:paraId="6C510696" w14:textId="77777777" w:rsidR="000D23EB" w:rsidRPr="00431B48" w:rsidRDefault="000D23EB">
      <w:pPr>
        <w:pStyle w:val="BodyText"/>
        <w:rPr>
          <w:b/>
          <w:sz w:val="26"/>
        </w:rPr>
      </w:pPr>
    </w:p>
    <w:p w14:paraId="7B768A0C" w14:textId="77777777" w:rsidR="000D23EB" w:rsidRPr="00431B48" w:rsidRDefault="000D23EB">
      <w:pPr>
        <w:pStyle w:val="BodyText"/>
        <w:rPr>
          <w:b/>
          <w:sz w:val="26"/>
        </w:rPr>
      </w:pPr>
    </w:p>
    <w:p w14:paraId="0D9AE6C6" w14:textId="77777777" w:rsidR="000D23EB" w:rsidRPr="00431B48" w:rsidRDefault="000D23EB">
      <w:pPr>
        <w:pStyle w:val="BodyText"/>
        <w:rPr>
          <w:b/>
          <w:sz w:val="26"/>
        </w:rPr>
      </w:pPr>
    </w:p>
    <w:p w14:paraId="0A93E983" w14:textId="231B5F7C" w:rsidR="000D23EB" w:rsidRDefault="000D23EB">
      <w:pPr>
        <w:pStyle w:val="BodyText"/>
        <w:rPr>
          <w:b/>
          <w:sz w:val="26"/>
        </w:rPr>
      </w:pPr>
    </w:p>
    <w:p w14:paraId="6C2AE359" w14:textId="77777777" w:rsidR="00A81345" w:rsidRPr="00431B48" w:rsidRDefault="00A81345">
      <w:pPr>
        <w:pStyle w:val="BodyText"/>
        <w:rPr>
          <w:b/>
          <w:sz w:val="26"/>
        </w:rPr>
      </w:pPr>
    </w:p>
    <w:p w14:paraId="6772072D" w14:textId="77777777" w:rsidR="000D23EB" w:rsidRPr="00431B48" w:rsidRDefault="000D23EB">
      <w:pPr>
        <w:pStyle w:val="BodyText"/>
        <w:spacing w:before="6"/>
        <w:rPr>
          <w:b/>
          <w:sz w:val="20"/>
        </w:rPr>
      </w:pPr>
    </w:p>
    <w:p w14:paraId="7DC1D416" w14:textId="77777777" w:rsidR="000D23EB" w:rsidRPr="00431B48" w:rsidRDefault="000122D8">
      <w:pPr>
        <w:pStyle w:val="BodyText"/>
        <w:spacing w:before="93" w:line="290" w:lineRule="auto"/>
        <w:ind w:left="100"/>
      </w:pPr>
      <w:r w:rsidRPr="00431B48">
        <w:br w:type="column"/>
      </w:r>
      <w:r w:rsidRPr="00431B48">
        <w:t>Anyone who processes personal information must comply with eight principles of the Data Protection Act, which is to make sure that personal information is fairly and lawfully processed, not excessive, accurate, and secure.</w:t>
      </w:r>
    </w:p>
    <w:p w14:paraId="0FF2396B" w14:textId="77777777" w:rsidR="000D23EB" w:rsidRPr="00431B48" w:rsidRDefault="000D23EB">
      <w:pPr>
        <w:pStyle w:val="BodyText"/>
        <w:spacing w:before="10"/>
        <w:rPr>
          <w:sz w:val="29"/>
        </w:rPr>
      </w:pPr>
    </w:p>
    <w:p w14:paraId="5A918739" w14:textId="77777777" w:rsidR="000D23EB" w:rsidRPr="00431B48" w:rsidRDefault="000122D8">
      <w:pPr>
        <w:pStyle w:val="BodyText"/>
        <w:spacing w:line="288" w:lineRule="auto"/>
        <w:ind w:left="100" w:right="207"/>
        <w:jc w:val="both"/>
      </w:pPr>
      <w:r w:rsidRPr="00431B48">
        <w:t>There is stronger legal protection for more sensitive information, which generally shouldn’t be shared without the individual (data subject)’s consent and then only for specific purposes.</w:t>
      </w:r>
    </w:p>
    <w:p w14:paraId="1BFD8F3E" w14:textId="77777777" w:rsidR="000D23EB" w:rsidRPr="00431B48" w:rsidRDefault="000D23EB">
      <w:pPr>
        <w:pStyle w:val="BodyText"/>
        <w:spacing w:before="2"/>
        <w:rPr>
          <w:sz w:val="30"/>
        </w:rPr>
      </w:pPr>
    </w:p>
    <w:p w14:paraId="696D08D3" w14:textId="6CC3FAF4" w:rsidR="000D23EB" w:rsidRDefault="000122D8">
      <w:pPr>
        <w:pStyle w:val="BodyText"/>
        <w:spacing w:line="290" w:lineRule="auto"/>
        <w:ind w:left="100" w:right="389"/>
      </w:pPr>
      <w:r w:rsidRPr="00431B48">
        <w:t xml:space="preserve">Sharing of personal information is legal and encouraged when the </w:t>
      </w:r>
      <w:proofErr w:type="spellStart"/>
      <w:r w:rsidRPr="00431B48">
        <w:t>organisation</w:t>
      </w:r>
      <w:proofErr w:type="spellEnd"/>
      <w:r w:rsidRPr="00431B48">
        <w:t xml:space="preserve"> has a legal obligation to fulfil, when they are acting to protect the vital interests of the subject or when it assists in the investigation of criminal activity.</w:t>
      </w:r>
      <w:r>
        <w:br/>
      </w:r>
      <w:r>
        <w:br/>
      </w:r>
      <w:r>
        <w:br/>
      </w:r>
      <w:r>
        <w:br/>
        <w:t>Further information about the University’s obligations under Data Protection legislation can be found at the link below:</w:t>
      </w:r>
    </w:p>
    <w:p w14:paraId="357F5B5A" w14:textId="71E05725" w:rsidR="000122D8" w:rsidRDefault="000122D8">
      <w:pPr>
        <w:pStyle w:val="BodyText"/>
        <w:spacing w:line="290" w:lineRule="auto"/>
        <w:ind w:left="100" w:right="389"/>
      </w:pPr>
    </w:p>
    <w:p w14:paraId="1AAF0336" w14:textId="0AB4FC33" w:rsidR="000122D8" w:rsidRDefault="0061760B">
      <w:pPr>
        <w:pStyle w:val="BodyText"/>
        <w:spacing w:line="290" w:lineRule="auto"/>
        <w:ind w:left="100" w:right="389"/>
      </w:pPr>
      <w:hyperlink r:id="rId10" w:history="1">
        <w:r w:rsidR="000122D8" w:rsidRPr="00465996">
          <w:rPr>
            <w:rStyle w:val="Hyperlink"/>
          </w:rPr>
          <w:t>https://intranet.cardiff.ac.uk/staff/services/data-protection</w:t>
        </w:r>
      </w:hyperlink>
    </w:p>
    <w:p w14:paraId="180B56CC" w14:textId="77777777" w:rsidR="000122D8" w:rsidRDefault="000122D8">
      <w:pPr>
        <w:pStyle w:val="BodyText"/>
        <w:spacing w:line="290" w:lineRule="auto"/>
        <w:ind w:left="100" w:right="389"/>
      </w:pPr>
    </w:p>
    <w:p w14:paraId="52F0DEE5" w14:textId="5C3BE247" w:rsidR="000122D8" w:rsidRDefault="000122D8" w:rsidP="000122D8">
      <w:pPr>
        <w:pStyle w:val="BodyText"/>
        <w:spacing w:line="290" w:lineRule="auto"/>
        <w:ind w:left="100" w:right="389"/>
      </w:pPr>
      <w:r>
        <w:t xml:space="preserve">Mandatory Information Security training for </w:t>
      </w:r>
      <w:r>
        <w:rPr>
          <w:b/>
          <w:bCs/>
        </w:rPr>
        <w:t>all staff</w:t>
      </w:r>
      <w:r>
        <w:t xml:space="preserve"> is available on Learning Central.</w:t>
      </w:r>
    </w:p>
    <w:p w14:paraId="0064AF04" w14:textId="319ACB2D" w:rsidR="000122D8" w:rsidRDefault="000122D8" w:rsidP="000122D8">
      <w:pPr>
        <w:pStyle w:val="BodyText"/>
        <w:spacing w:line="290" w:lineRule="auto"/>
        <w:ind w:left="100" w:right="389"/>
      </w:pPr>
    </w:p>
    <w:p w14:paraId="1A7142F6" w14:textId="5167CF2E" w:rsidR="000122D8" w:rsidRDefault="000122D8" w:rsidP="000122D8">
      <w:pPr>
        <w:pStyle w:val="BodyText"/>
        <w:spacing w:line="290" w:lineRule="auto"/>
        <w:ind w:left="100" w:right="389"/>
      </w:pPr>
      <w:r>
        <w:t>Further information security policies and guidance can be found at the link below:</w:t>
      </w:r>
    </w:p>
    <w:p w14:paraId="1683ECE8" w14:textId="5E2447E9" w:rsidR="000122D8" w:rsidRDefault="000122D8" w:rsidP="000122D8">
      <w:pPr>
        <w:pStyle w:val="BodyText"/>
        <w:spacing w:line="290" w:lineRule="auto"/>
        <w:ind w:left="100" w:right="389"/>
      </w:pPr>
    </w:p>
    <w:p w14:paraId="30E7A85C" w14:textId="28CAA529" w:rsidR="000122D8" w:rsidRDefault="0061760B" w:rsidP="000122D8">
      <w:pPr>
        <w:pStyle w:val="BodyText"/>
        <w:spacing w:line="290" w:lineRule="auto"/>
        <w:ind w:left="100" w:right="389"/>
      </w:pPr>
      <w:hyperlink r:id="rId11" w:history="1">
        <w:r w:rsidR="000122D8" w:rsidRPr="00465996">
          <w:rPr>
            <w:rStyle w:val="Hyperlink"/>
          </w:rPr>
          <w:t>http://sites.cardiff.ac.uk/isf/</w:t>
        </w:r>
      </w:hyperlink>
    </w:p>
    <w:p w14:paraId="18019FBE" w14:textId="012EDDC1" w:rsidR="000122D8" w:rsidRDefault="000122D8" w:rsidP="000122D8">
      <w:pPr>
        <w:pStyle w:val="BodyText"/>
        <w:spacing w:line="290" w:lineRule="auto"/>
        <w:ind w:left="100" w:right="389"/>
      </w:pPr>
    </w:p>
    <w:p w14:paraId="7DFDF001" w14:textId="77777777" w:rsidR="000122D8" w:rsidRPr="000122D8" w:rsidRDefault="000122D8" w:rsidP="000122D8">
      <w:pPr>
        <w:pStyle w:val="BodyText"/>
        <w:spacing w:line="290" w:lineRule="auto"/>
        <w:ind w:left="100" w:right="389"/>
      </w:pPr>
    </w:p>
    <w:p w14:paraId="16F8758D" w14:textId="437387CB" w:rsidR="000D23EB" w:rsidRPr="00431B48" w:rsidRDefault="000122D8">
      <w:pPr>
        <w:pStyle w:val="BodyText"/>
        <w:rPr>
          <w:sz w:val="26"/>
        </w:rPr>
      </w:pPr>
      <w:r>
        <w:rPr>
          <w:sz w:val="26"/>
        </w:rPr>
        <w:br/>
      </w:r>
      <w:r>
        <w:rPr>
          <w:sz w:val="26"/>
        </w:rPr>
        <w:br/>
      </w:r>
    </w:p>
    <w:p w14:paraId="54C24F1B" w14:textId="01EC29EF" w:rsidR="000D23EB" w:rsidRDefault="000D23EB">
      <w:pPr>
        <w:pStyle w:val="BodyText"/>
        <w:spacing w:before="8"/>
        <w:rPr>
          <w:sz w:val="31"/>
        </w:rPr>
      </w:pPr>
    </w:p>
    <w:p w14:paraId="5C1169F9" w14:textId="77777777" w:rsidR="00A81345" w:rsidRPr="00431B48" w:rsidRDefault="00A81345">
      <w:pPr>
        <w:pStyle w:val="BodyText"/>
        <w:spacing w:before="8"/>
        <w:rPr>
          <w:sz w:val="31"/>
        </w:rPr>
      </w:pPr>
    </w:p>
    <w:p w14:paraId="63079709" w14:textId="77777777" w:rsidR="000D23EB" w:rsidRPr="00431B48" w:rsidRDefault="000D23EB">
      <w:pPr>
        <w:spacing w:line="288" w:lineRule="auto"/>
        <w:sectPr w:rsidR="000D23EB" w:rsidRPr="00431B48">
          <w:type w:val="continuous"/>
          <w:pgSz w:w="11900" w:h="16840"/>
          <w:pgMar w:top="1180" w:right="1100" w:bottom="1400" w:left="1100" w:header="720" w:footer="720" w:gutter="0"/>
          <w:cols w:num="2" w:space="720" w:equalWidth="0">
            <w:col w:w="1772" w:space="828"/>
            <w:col w:w="7100"/>
          </w:cols>
        </w:sectPr>
      </w:pPr>
    </w:p>
    <w:p w14:paraId="7555A195" w14:textId="77777777" w:rsidR="000D23EB" w:rsidRPr="00431B48" w:rsidRDefault="000D23EB">
      <w:pPr>
        <w:pStyle w:val="BodyText"/>
        <w:rPr>
          <w:sz w:val="20"/>
        </w:rPr>
      </w:pPr>
    </w:p>
    <w:p w14:paraId="7124C557" w14:textId="77777777" w:rsidR="000D23EB" w:rsidRPr="00431B48" w:rsidRDefault="000D23EB">
      <w:pPr>
        <w:pStyle w:val="BodyText"/>
        <w:spacing w:before="10"/>
      </w:pPr>
    </w:p>
    <w:p w14:paraId="2AB39052" w14:textId="77777777" w:rsidR="000D23EB" w:rsidRPr="00431B48" w:rsidRDefault="000D23EB">
      <w:pPr>
        <w:sectPr w:rsidR="000D23EB" w:rsidRPr="00431B48">
          <w:pgSz w:w="11900" w:h="16840"/>
          <w:pgMar w:top="1180" w:right="1100" w:bottom="1400" w:left="1100" w:header="960" w:footer="1210" w:gutter="0"/>
          <w:cols w:space="720"/>
        </w:sectPr>
      </w:pPr>
    </w:p>
    <w:p w14:paraId="45B45B0D" w14:textId="77777777" w:rsidR="000D23EB" w:rsidRPr="00431B48" w:rsidRDefault="000122D8">
      <w:pPr>
        <w:pStyle w:val="Heading1"/>
        <w:spacing w:before="93" w:line="242" w:lineRule="auto"/>
        <w:ind w:right="19"/>
      </w:pPr>
      <w:r w:rsidRPr="00431B48">
        <w:t>The Children Act 1989</w:t>
      </w:r>
    </w:p>
    <w:p w14:paraId="3315E395" w14:textId="77777777" w:rsidR="000D23EB" w:rsidRPr="00431B48" w:rsidRDefault="000D23EB">
      <w:pPr>
        <w:pStyle w:val="BodyText"/>
        <w:rPr>
          <w:b/>
          <w:sz w:val="26"/>
        </w:rPr>
      </w:pPr>
    </w:p>
    <w:p w14:paraId="69C88725" w14:textId="77777777" w:rsidR="000D23EB" w:rsidRPr="00431B48" w:rsidRDefault="000D23EB">
      <w:pPr>
        <w:pStyle w:val="BodyText"/>
        <w:rPr>
          <w:b/>
          <w:sz w:val="26"/>
        </w:rPr>
      </w:pPr>
    </w:p>
    <w:p w14:paraId="4CF5833D" w14:textId="77777777" w:rsidR="000D23EB" w:rsidRPr="00431B48" w:rsidRDefault="000D23EB">
      <w:pPr>
        <w:pStyle w:val="BodyText"/>
        <w:rPr>
          <w:b/>
          <w:sz w:val="26"/>
        </w:rPr>
      </w:pPr>
    </w:p>
    <w:p w14:paraId="01B88B1D" w14:textId="77777777" w:rsidR="000D23EB" w:rsidRPr="00431B48" w:rsidRDefault="000D23EB">
      <w:pPr>
        <w:pStyle w:val="BodyText"/>
        <w:rPr>
          <w:b/>
          <w:sz w:val="26"/>
        </w:rPr>
      </w:pPr>
    </w:p>
    <w:p w14:paraId="1FBD83BF" w14:textId="77777777" w:rsidR="000D23EB" w:rsidRPr="00431B48" w:rsidRDefault="000D23EB">
      <w:pPr>
        <w:pStyle w:val="BodyText"/>
        <w:rPr>
          <w:b/>
          <w:sz w:val="26"/>
        </w:rPr>
      </w:pPr>
    </w:p>
    <w:p w14:paraId="4473F04F" w14:textId="77777777" w:rsidR="000D23EB" w:rsidRPr="00431B48" w:rsidRDefault="000D23EB">
      <w:pPr>
        <w:pStyle w:val="BodyText"/>
        <w:rPr>
          <w:b/>
          <w:sz w:val="26"/>
        </w:rPr>
      </w:pPr>
    </w:p>
    <w:p w14:paraId="2ED6E0D7" w14:textId="77777777" w:rsidR="000D23EB" w:rsidRPr="00431B48" w:rsidRDefault="000D23EB">
      <w:pPr>
        <w:pStyle w:val="BodyText"/>
        <w:rPr>
          <w:b/>
          <w:sz w:val="26"/>
        </w:rPr>
      </w:pPr>
    </w:p>
    <w:p w14:paraId="047C5F4B" w14:textId="77777777" w:rsidR="000D23EB" w:rsidRPr="00431B48" w:rsidRDefault="000D23EB">
      <w:pPr>
        <w:pStyle w:val="BodyText"/>
        <w:rPr>
          <w:b/>
          <w:sz w:val="26"/>
        </w:rPr>
      </w:pPr>
    </w:p>
    <w:p w14:paraId="326062CA" w14:textId="77777777" w:rsidR="000D23EB" w:rsidRPr="00431B48" w:rsidRDefault="000D23EB">
      <w:pPr>
        <w:pStyle w:val="BodyText"/>
        <w:rPr>
          <w:b/>
          <w:sz w:val="26"/>
        </w:rPr>
      </w:pPr>
    </w:p>
    <w:p w14:paraId="36BAAF1B" w14:textId="77777777" w:rsidR="000D23EB" w:rsidRPr="00431B48" w:rsidRDefault="000D23EB">
      <w:pPr>
        <w:pStyle w:val="BodyText"/>
        <w:rPr>
          <w:b/>
          <w:sz w:val="26"/>
        </w:rPr>
      </w:pPr>
    </w:p>
    <w:p w14:paraId="32DC82D7" w14:textId="77777777" w:rsidR="000D23EB" w:rsidRPr="00431B48" w:rsidRDefault="000D23EB">
      <w:pPr>
        <w:pStyle w:val="BodyText"/>
        <w:rPr>
          <w:b/>
          <w:sz w:val="26"/>
        </w:rPr>
      </w:pPr>
    </w:p>
    <w:p w14:paraId="50943863" w14:textId="77777777" w:rsidR="000D23EB" w:rsidRPr="00431B48" w:rsidRDefault="000122D8">
      <w:pPr>
        <w:spacing w:before="174"/>
        <w:ind w:left="100"/>
        <w:rPr>
          <w:b/>
          <w:sz w:val="24"/>
        </w:rPr>
      </w:pPr>
      <w:r w:rsidRPr="00431B48">
        <w:rPr>
          <w:b/>
          <w:sz w:val="24"/>
        </w:rPr>
        <w:t>CSSIW</w:t>
      </w:r>
    </w:p>
    <w:p w14:paraId="61441657" w14:textId="77777777" w:rsidR="000D23EB" w:rsidRPr="00431B48" w:rsidRDefault="000D23EB">
      <w:pPr>
        <w:pStyle w:val="BodyText"/>
        <w:rPr>
          <w:b/>
          <w:sz w:val="26"/>
        </w:rPr>
      </w:pPr>
    </w:p>
    <w:p w14:paraId="0C19E26C" w14:textId="77777777" w:rsidR="000D23EB" w:rsidRPr="00431B48" w:rsidRDefault="000D23EB">
      <w:pPr>
        <w:pStyle w:val="BodyText"/>
        <w:rPr>
          <w:b/>
          <w:sz w:val="26"/>
        </w:rPr>
      </w:pPr>
    </w:p>
    <w:p w14:paraId="58100267" w14:textId="77777777" w:rsidR="000D23EB" w:rsidRPr="00431B48" w:rsidRDefault="000D23EB">
      <w:pPr>
        <w:pStyle w:val="BodyText"/>
        <w:rPr>
          <w:b/>
          <w:sz w:val="26"/>
        </w:rPr>
      </w:pPr>
    </w:p>
    <w:p w14:paraId="793919F5" w14:textId="77777777" w:rsidR="000D23EB" w:rsidRPr="00431B48" w:rsidRDefault="000D23EB">
      <w:pPr>
        <w:pStyle w:val="BodyText"/>
        <w:rPr>
          <w:b/>
          <w:sz w:val="26"/>
        </w:rPr>
      </w:pPr>
    </w:p>
    <w:p w14:paraId="1EA5C577" w14:textId="77777777" w:rsidR="000D23EB" w:rsidRPr="00431B48" w:rsidRDefault="000D23EB">
      <w:pPr>
        <w:pStyle w:val="BodyText"/>
        <w:rPr>
          <w:b/>
          <w:sz w:val="26"/>
        </w:rPr>
      </w:pPr>
    </w:p>
    <w:p w14:paraId="58952AA4" w14:textId="77777777" w:rsidR="000D23EB" w:rsidRPr="00431B48" w:rsidRDefault="000D23EB">
      <w:pPr>
        <w:pStyle w:val="BodyText"/>
        <w:rPr>
          <w:b/>
          <w:sz w:val="26"/>
        </w:rPr>
      </w:pPr>
    </w:p>
    <w:p w14:paraId="6D91A932" w14:textId="77777777" w:rsidR="000D23EB" w:rsidRPr="00431B48" w:rsidRDefault="000D23EB">
      <w:pPr>
        <w:pStyle w:val="BodyText"/>
        <w:rPr>
          <w:b/>
          <w:sz w:val="26"/>
        </w:rPr>
      </w:pPr>
    </w:p>
    <w:p w14:paraId="0814D848" w14:textId="77777777" w:rsidR="000D23EB" w:rsidRPr="00431B48" w:rsidRDefault="000D23EB">
      <w:pPr>
        <w:pStyle w:val="BodyText"/>
        <w:rPr>
          <w:b/>
          <w:sz w:val="26"/>
        </w:rPr>
      </w:pPr>
    </w:p>
    <w:p w14:paraId="22B9F20A" w14:textId="77777777" w:rsidR="000D23EB" w:rsidRPr="00431B48" w:rsidRDefault="000D23EB">
      <w:pPr>
        <w:pStyle w:val="BodyText"/>
        <w:rPr>
          <w:b/>
          <w:sz w:val="26"/>
        </w:rPr>
      </w:pPr>
    </w:p>
    <w:p w14:paraId="52871FBB" w14:textId="77777777" w:rsidR="000D23EB" w:rsidRPr="00431B48" w:rsidRDefault="000D23EB">
      <w:pPr>
        <w:pStyle w:val="BodyText"/>
        <w:rPr>
          <w:b/>
          <w:sz w:val="26"/>
        </w:rPr>
      </w:pPr>
    </w:p>
    <w:p w14:paraId="24D92852" w14:textId="77777777" w:rsidR="000D23EB" w:rsidRPr="00431B48" w:rsidRDefault="000D23EB">
      <w:pPr>
        <w:pStyle w:val="BodyText"/>
        <w:rPr>
          <w:b/>
          <w:sz w:val="26"/>
        </w:rPr>
      </w:pPr>
    </w:p>
    <w:p w14:paraId="39EC8E08" w14:textId="77777777" w:rsidR="000D23EB" w:rsidRPr="00431B48" w:rsidRDefault="000D23EB">
      <w:pPr>
        <w:pStyle w:val="BodyText"/>
        <w:spacing w:before="7"/>
        <w:rPr>
          <w:b/>
          <w:sz w:val="25"/>
        </w:rPr>
      </w:pPr>
    </w:p>
    <w:p w14:paraId="4311A43E" w14:textId="77777777" w:rsidR="000D23EB" w:rsidRPr="00431B48" w:rsidRDefault="000122D8">
      <w:pPr>
        <w:spacing w:line="242" w:lineRule="auto"/>
        <w:ind w:left="100" w:right="19"/>
        <w:rPr>
          <w:b/>
          <w:sz w:val="24"/>
        </w:rPr>
      </w:pPr>
      <w:r w:rsidRPr="00431B48">
        <w:rPr>
          <w:b/>
          <w:sz w:val="24"/>
        </w:rPr>
        <w:t>The Children Act 2004</w:t>
      </w:r>
    </w:p>
    <w:p w14:paraId="16D6C87A" w14:textId="77777777" w:rsidR="000D23EB" w:rsidRPr="00431B48" w:rsidRDefault="000122D8">
      <w:pPr>
        <w:pStyle w:val="BodyText"/>
        <w:spacing w:before="113" w:line="295" w:lineRule="auto"/>
        <w:ind w:left="100" w:right="389"/>
      </w:pPr>
      <w:r w:rsidRPr="00431B48">
        <w:br w:type="column"/>
      </w:r>
      <w:r w:rsidRPr="00431B48">
        <w:t>Established the paramount principle; the welfare of the child is paramount.</w:t>
      </w:r>
    </w:p>
    <w:p w14:paraId="48D59DA7" w14:textId="77777777" w:rsidR="000D23EB" w:rsidRPr="00431B48" w:rsidRDefault="000122D8">
      <w:pPr>
        <w:pStyle w:val="BodyText"/>
        <w:spacing w:before="181" w:line="278" w:lineRule="auto"/>
        <w:ind w:left="100" w:right="100"/>
      </w:pPr>
      <w:r w:rsidRPr="00431B48">
        <w:t xml:space="preserve">Parental responsibility is determined to rest with both mother </w:t>
      </w:r>
      <w:r w:rsidRPr="00431B48">
        <w:rPr>
          <w:spacing w:val="-5"/>
        </w:rPr>
        <w:t xml:space="preserve">and </w:t>
      </w:r>
      <w:r w:rsidRPr="00431B48">
        <w:t>father who were married to each other at the time of child’s birth. Parental responsibility may be acquired by legal process by other parental</w:t>
      </w:r>
      <w:r w:rsidRPr="00431B48">
        <w:rPr>
          <w:spacing w:val="-1"/>
        </w:rPr>
        <w:t xml:space="preserve"> </w:t>
      </w:r>
      <w:r w:rsidRPr="00431B48">
        <w:t>figures.</w:t>
      </w:r>
    </w:p>
    <w:p w14:paraId="460DE563" w14:textId="77777777" w:rsidR="000D23EB" w:rsidRPr="00431B48" w:rsidRDefault="000122D8">
      <w:pPr>
        <w:pStyle w:val="BodyText"/>
        <w:spacing w:before="199" w:line="278" w:lineRule="auto"/>
        <w:ind w:left="100" w:right="109"/>
      </w:pPr>
      <w:r w:rsidRPr="00431B48">
        <w:t>All other adults supplying services to children are under a duty of care to maintain their safety and well-being.</w:t>
      </w:r>
    </w:p>
    <w:p w14:paraId="1E25D904" w14:textId="77777777" w:rsidR="000D23EB" w:rsidRPr="00431B48" w:rsidRDefault="000D23EB">
      <w:pPr>
        <w:pStyle w:val="BodyText"/>
        <w:rPr>
          <w:sz w:val="26"/>
        </w:rPr>
      </w:pPr>
    </w:p>
    <w:p w14:paraId="2D031DF6" w14:textId="77777777" w:rsidR="000D23EB" w:rsidRPr="00431B48" w:rsidRDefault="000D23EB">
      <w:pPr>
        <w:pStyle w:val="BodyText"/>
        <w:rPr>
          <w:sz w:val="26"/>
        </w:rPr>
      </w:pPr>
    </w:p>
    <w:p w14:paraId="6BA11FFC" w14:textId="77777777" w:rsidR="000D23EB" w:rsidRPr="00431B48" w:rsidRDefault="000D23EB">
      <w:pPr>
        <w:pStyle w:val="BodyText"/>
        <w:spacing w:before="5"/>
        <w:rPr>
          <w:sz w:val="31"/>
        </w:rPr>
      </w:pPr>
    </w:p>
    <w:p w14:paraId="1F54FA8A" w14:textId="77777777" w:rsidR="000D23EB" w:rsidRPr="00431B48" w:rsidRDefault="000122D8">
      <w:pPr>
        <w:pStyle w:val="BodyText"/>
        <w:spacing w:before="1" w:line="278" w:lineRule="auto"/>
        <w:ind w:left="100" w:right="230"/>
      </w:pPr>
      <w:r w:rsidRPr="00431B48">
        <w:t>In Safe Hands (Welsh Government 2000) details the roles and responsibilities of CSSIW in relation to other statutory bodies.</w:t>
      </w:r>
    </w:p>
    <w:p w14:paraId="1A1C3A81" w14:textId="77777777" w:rsidR="000D23EB" w:rsidRPr="00431B48" w:rsidRDefault="000122D8">
      <w:pPr>
        <w:pStyle w:val="BodyText"/>
        <w:spacing w:before="199" w:line="278" w:lineRule="auto"/>
        <w:ind w:left="100" w:right="149"/>
      </w:pPr>
      <w:r w:rsidRPr="00431B48">
        <w:t>This includes local authorities who have the lead role in coordinating the development of local policies and procedures in adult protection.</w:t>
      </w:r>
    </w:p>
    <w:p w14:paraId="47FD2D72" w14:textId="77777777" w:rsidR="000D23EB" w:rsidRPr="00431B48" w:rsidRDefault="000122D8">
      <w:pPr>
        <w:pStyle w:val="BodyText"/>
        <w:spacing w:before="200" w:line="278" w:lineRule="auto"/>
        <w:ind w:left="100" w:right="737"/>
      </w:pPr>
      <w:r w:rsidRPr="00431B48">
        <w:t xml:space="preserve">CSSIW is an integration of two former </w:t>
      </w:r>
      <w:proofErr w:type="spellStart"/>
      <w:r w:rsidRPr="00431B48">
        <w:t>organisations</w:t>
      </w:r>
      <w:proofErr w:type="spellEnd"/>
      <w:r w:rsidRPr="00431B48">
        <w:t xml:space="preserve"> - Care Standards Inspectorate for Wales and Social Services Inspectorate Wales.</w:t>
      </w:r>
    </w:p>
    <w:p w14:paraId="56C54C4C" w14:textId="77777777" w:rsidR="000D23EB" w:rsidRPr="00431B48" w:rsidRDefault="000D23EB">
      <w:pPr>
        <w:pStyle w:val="BodyText"/>
        <w:rPr>
          <w:sz w:val="26"/>
        </w:rPr>
      </w:pPr>
    </w:p>
    <w:p w14:paraId="6A0CF04D" w14:textId="77777777" w:rsidR="000D23EB" w:rsidRPr="00431B48" w:rsidRDefault="000D23EB">
      <w:pPr>
        <w:pStyle w:val="BodyText"/>
        <w:rPr>
          <w:sz w:val="26"/>
        </w:rPr>
      </w:pPr>
    </w:p>
    <w:p w14:paraId="0D6B9B02" w14:textId="77777777" w:rsidR="000D23EB" w:rsidRPr="00431B48" w:rsidRDefault="000D23EB">
      <w:pPr>
        <w:pStyle w:val="BodyText"/>
        <w:spacing w:before="5"/>
        <w:rPr>
          <w:sz w:val="31"/>
        </w:rPr>
      </w:pPr>
    </w:p>
    <w:p w14:paraId="742657D1" w14:textId="77777777" w:rsidR="000D23EB" w:rsidRPr="00431B48" w:rsidRDefault="000122D8">
      <w:pPr>
        <w:pStyle w:val="BodyText"/>
        <w:spacing w:line="278" w:lineRule="auto"/>
        <w:ind w:left="100" w:right="136"/>
      </w:pPr>
      <w:r w:rsidRPr="00431B48">
        <w:t>The Children Act 2004 provides the legal basis for how social services and other agencies deal with issues relating to children.</w:t>
      </w:r>
    </w:p>
    <w:p w14:paraId="7E03E0B0" w14:textId="77777777" w:rsidR="000D23EB" w:rsidRPr="00431B48" w:rsidRDefault="000D23EB">
      <w:pPr>
        <w:pStyle w:val="BodyText"/>
        <w:spacing w:before="9"/>
        <w:rPr>
          <w:sz w:val="27"/>
        </w:rPr>
      </w:pPr>
    </w:p>
    <w:p w14:paraId="75CFB233" w14:textId="77777777" w:rsidR="000D23EB" w:rsidRPr="00431B48" w:rsidRDefault="000122D8">
      <w:pPr>
        <w:pStyle w:val="BodyText"/>
        <w:spacing w:line="283" w:lineRule="auto"/>
        <w:ind w:left="100" w:right="108"/>
      </w:pPr>
      <w:r w:rsidRPr="00431B48">
        <w:t>These guidelines have been laid down so that all individuals who are involved in the looking after children, be it in the home, the work place, school or other locale are aware of how children should be looked after in the eyes of the law.</w:t>
      </w:r>
    </w:p>
    <w:p w14:paraId="3BF44EE1" w14:textId="77777777" w:rsidR="000D23EB" w:rsidRPr="00431B48" w:rsidRDefault="000D23EB">
      <w:pPr>
        <w:spacing w:line="283" w:lineRule="auto"/>
        <w:sectPr w:rsidR="000D23EB" w:rsidRPr="00431B48">
          <w:type w:val="continuous"/>
          <w:pgSz w:w="11900" w:h="16840"/>
          <w:pgMar w:top="1180" w:right="1100" w:bottom="1400" w:left="1100" w:header="720" w:footer="720" w:gutter="0"/>
          <w:cols w:num="2" w:space="720" w:equalWidth="0">
            <w:col w:w="1606" w:space="994"/>
            <w:col w:w="7100"/>
          </w:cols>
        </w:sectPr>
      </w:pPr>
    </w:p>
    <w:p w14:paraId="4B8328F4" w14:textId="77777777" w:rsidR="000D23EB" w:rsidRPr="00431B48" w:rsidRDefault="000D23EB">
      <w:pPr>
        <w:pStyle w:val="BodyText"/>
        <w:rPr>
          <w:sz w:val="20"/>
        </w:rPr>
      </w:pPr>
    </w:p>
    <w:p w14:paraId="01C6FB7A" w14:textId="77777777" w:rsidR="000D23EB" w:rsidRPr="00431B48" w:rsidRDefault="000D23EB">
      <w:pPr>
        <w:pStyle w:val="BodyText"/>
        <w:spacing w:before="7"/>
        <w:rPr>
          <w:sz w:val="26"/>
        </w:rPr>
      </w:pPr>
    </w:p>
    <w:p w14:paraId="49AA1AD6" w14:textId="77777777" w:rsidR="000D23EB" w:rsidRPr="00431B48" w:rsidRDefault="000D23EB">
      <w:pPr>
        <w:rPr>
          <w:sz w:val="26"/>
        </w:rPr>
        <w:sectPr w:rsidR="000D23EB" w:rsidRPr="00431B48">
          <w:pgSz w:w="11900" w:h="16840"/>
          <w:pgMar w:top="1180" w:right="1100" w:bottom="1400" w:left="1100" w:header="960" w:footer="1210" w:gutter="0"/>
          <w:cols w:space="720"/>
        </w:sectPr>
      </w:pPr>
    </w:p>
    <w:p w14:paraId="1DD46155" w14:textId="77777777" w:rsidR="000D23EB" w:rsidRPr="00431B48" w:rsidRDefault="000122D8">
      <w:pPr>
        <w:pStyle w:val="Heading1"/>
        <w:spacing w:before="113" w:line="242" w:lineRule="auto"/>
        <w:ind w:right="73"/>
      </w:pPr>
      <w:r w:rsidRPr="00431B48">
        <w:t>Working Together to Safeguard Children 2004</w:t>
      </w:r>
    </w:p>
    <w:p w14:paraId="77A6BF56" w14:textId="77777777" w:rsidR="000D23EB" w:rsidRPr="00431B48" w:rsidRDefault="000D23EB">
      <w:pPr>
        <w:pStyle w:val="BodyText"/>
        <w:rPr>
          <w:b/>
          <w:sz w:val="26"/>
        </w:rPr>
      </w:pPr>
    </w:p>
    <w:p w14:paraId="53072EB1" w14:textId="77777777" w:rsidR="000D23EB" w:rsidRPr="00431B48" w:rsidRDefault="000D23EB">
      <w:pPr>
        <w:pStyle w:val="BodyText"/>
        <w:rPr>
          <w:b/>
          <w:sz w:val="26"/>
        </w:rPr>
      </w:pPr>
    </w:p>
    <w:p w14:paraId="55971E3B" w14:textId="77777777" w:rsidR="000D23EB" w:rsidRPr="00431B48" w:rsidRDefault="000D23EB">
      <w:pPr>
        <w:pStyle w:val="BodyText"/>
        <w:rPr>
          <w:b/>
          <w:sz w:val="26"/>
        </w:rPr>
      </w:pPr>
    </w:p>
    <w:p w14:paraId="216FA6C9" w14:textId="77777777" w:rsidR="000D23EB" w:rsidRPr="00431B48" w:rsidRDefault="000D23EB">
      <w:pPr>
        <w:pStyle w:val="BodyText"/>
        <w:rPr>
          <w:b/>
          <w:sz w:val="26"/>
        </w:rPr>
      </w:pPr>
    </w:p>
    <w:p w14:paraId="535E2F55" w14:textId="77777777" w:rsidR="000D23EB" w:rsidRPr="00431B48" w:rsidRDefault="000D23EB">
      <w:pPr>
        <w:pStyle w:val="BodyText"/>
        <w:rPr>
          <w:b/>
          <w:sz w:val="26"/>
        </w:rPr>
      </w:pPr>
    </w:p>
    <w:p w14:paraId="5F4AA033" w14:textId="77777777" w:rsidR="000D23EB" w:rsidRPr="00431B48" w:rsidRDefault="000122D8">
      <w:pPr>
        <w:spacing w:before="210" w:line="242" w:lineRule="auto"/>
        <w:ind w:left="100" w:right="326"/>
        <w:rPr>
          <w:b/>
          <w:sz w:val="24"/>
        </w:rPr>
      </w:pPr>
      <w:r w:rsidRPr="00431B48">
        <w:rPr>
          <w:b/>
          <w:sz w:val="24"/>
        </w:rPr>
        <w:t xml:space="preserve">All </w:t>
      </w:r>
      <w:r w:rsidRPr="00431B48">
        <w:rPr>
          <w:b/>
          <w:spacing w:val="-3"/>
          <w:sz w:val="24"/>
        </w:rPr>
        <w:t xml:space="preserve">Wales </w:t>
      </w:r>
      <w:r w:rsidRPr="00431B48">
        <w:rPr>
          <w:b/>
          <w:sz w:val="24"/>
        </w:rPr>
        <w:t>Child Protection Procedures 2008</w:t>
      </w:r>
    </w:p>
    <w:p w14:paraId="4CF0B9F1" w14:textId="77777777" w:rsidR="000D23EB" w:rsidRPr="00431B48" w:rsidRDefault="000D23EB">
      <w:pPr>
        <w:pStyle w:val="BodyText"/>
        <w:rPr>
          <w:b/>
          <w:sz w:val="26"/>
        </w:rPr>
      </w:pPr>
    </w:p>
    <w:p w14:paraId="4A1A1E3A" w14:textId="77777777" w:rsidR="000D23EB" w:rsidRPr="00431B48" w:rsidRDefault="000D23EB">
      <w:pPr>
        <w:pStyle w:val="BodyText"/>
        <w:rPr>
          <w:b/>
          <w:sz w:val="26"/>
        </w:rPr>
      </w:pPr>
    </w:p>
    <w:p w14:paraId="29F6E718" w14:textId="77777777" w:rsidR="000122D8" w:rsidRDefault="000122D8">
      <w:pPr>
        <w:spacing w:before="228" w:line="242" w:lineRule="auto"/>
        <w:ind w:left="100" w:right="73"/>
        <w:rPr>
          <w:b/>
          <w:sz w:val="24"/>
        </w:rPr>
      </w:pPr>
    </w:p>
    <w:p w14:paraId="67068271" w14:textId="70B9FB9F" w:rsidR="000D23EB" w:rsidRPr="00431B48" w:rsidRDefault="000122D8">
      <w:pPr>
        <w:spacing w:before="228" w:line="242" w:lineRule="auto"/>
        <w:ind w:left="100" w:right="73"/>
        <w:rPr>
          <w:b/>
          <w:sz w:val="24"/>
        </w:rPr>
      </w:pPr>
      <w:r w:rsidRPr="00431B48">
        <w:rPr>
          <w:b/>
          <w:sz w:val="24"/>
        </w:rPr>
        <w:t xml:space="preserve">Keeping Learners </w:t>
      </w:r>
      <w:r w:rsidRPr="00431B48">
        <w:rPr>
          <w:b/>
          <w:spacing w:val="-5"/>
          <w:sz w:val="24"/>
        </w:rPr>
        <w:t xml:space="preserve">Safe </w:t>
      </w:r>
      <w:r w:rsidRPr="00431B48">
        <w:rPr>
          <w:b/>
          <w:sz w:val="24"/>
        </w:rPr>
        <w:t>2015</w:t>
      </w:r>
    </w:p>
    <w:p w14:paraId="7FC70E0D" w14:textId="77777777" w:rsidR="000D23EB" w:rsidRPr="00431B48" w:rsidRDefault="000D23EB">
      <w:pPr>
        <w:pStyle w:val="BodyText"/>
        <w:rPr>
          <w:b/>
          <w:sz w:val="26"/>
        </w:rPr>
      </w:pPr>
    </w:p>
    <w:p w14:paraId="1273033C" w14:textId="77777777" w:rsidR="000D23EB" w:rsidRPr="00431B48" w:rsidRDefault="000D23EB">
      <w:pPr>
        <w:pStyle w:val="BodyText"/>
        <w:rPr>
          <w:b/>
          <w:sz w:val="26"/>
        </w:rPr>
      </w:pPr>
    </w:p>
    <w:p w14:paraId="614FC7AC" w14:textId="77777777" w:rsidR="000D23EB" w:rsidRPr="00431B48" w:rsidRDefault="000D23EB">
      <w:pPr>
        <w:pStyle w:val="BodyText"/>
        <w:rPr>
          <w:b/>
          <w:sz w:val="26"/>
        </w:rPr>
      </w:pPr>
    </w:p>
    <w:p w14:paraId="4CABF823" w14:textId="77777777" w:rsidR="000D23EB" w:rsidRPr="00431B48" w:rsidRDefault="000D23EB">
      <w:pPr>
        <w:pStyle w:val="BodyText"/>
        <w:rPr>
          <w:b/>
          <w:sz w:val="26"/>
        </w:rPr>
      </w:pPr>
    </w:p>
    <w:p w14:paraId="7C5B2AB5" w14:textId="77777777" w:rsidR="000D23EB" w:rsidRPr="00431B48" w:rsidRDefault="000D23EB">
      <w:pPr>
        <w:pStyle w:val="BodyText"/>
        <w:rPr>
          <w:b/>
          <w:sz w:val="26"/>
        </w:rPr>
      </w:pPr>
    </w:p>
    <w:p w14:paraId="50825358" w14:textId="77777777" w:rsidR="000D23EB" w:rsidRPr="00431B48" w:rsidRDefault="000122D8">
      <w:pPr>
        <w:spacing w:before="209" w:line="242" w:lineRule="auto"/>
        <w:ind w:left="100" w:right="20"/>
        <w:rPr>
          <w:b/>
          <w:sz w:val="24"/>
        </w:rPr>
      </w:pPr>
      <w:r w:rsidRPr="00431B48">
        <w:rPr>
          <w:b/>
          <w:sz w:val="24"/>
        </w:rPr>
        <w:t>Working Together to Keep Children Safe 2015</w:t>
      </w:r>
    </w:p>
    <w:p w14:paraId="32C43EE5" w14:textId="4B4820E3" w:rsidR="000D23EB" w:rsidRDefault="000D23EB">
      <w:pPr>
        <w:pStyle w:val="BodyText"/>
        <w:rPr>
          <w:b/>
          <w:sz w:val="26"/>
        </w:rPr>
      </w:pPr>
    </w:p>
    <w:p w14:paraId="29228400" w14:textId="77777777" w:rsidR="000122D8" w:rsidRPr="00431B48" w:rsidRDefault="000122D8">
      <w:pPr>
        <w:pStyle w:val="BodyText"/>
        <w:rPr>
          <w:b/>
          <w:sz w:val="26"/>
        </w:rPr>
      </w:pPr>
    </w:p>
    <w:p w14:paraId="2DADAE8F" w14:textId="77777777" w:rsidR="000D23EB" w:rsidRPr="00431B48" w:rsidRDefault="000D23EB">
      <w:pPr>
        <w:pStyle w:val="BodyText"/>
        <w:spacing w:before="2"/>
        <w:rPr>
          <w:b/>
          <w:sz w:val="23"/>
        </w:rPr>
      </w:pPr>
    </w:p>
    <w:p w14:paraId="7B0E75D8" w14:textId="77777777" w:rsidR="000D23EB" w:rsidRPr="00431B48" w:rsidRDefault="000122D8">
      <w:pPr>
        <w:spacing w:line="242" w:lineRule="auto"/>
        <w:ind w:left="100" w:right="73"/>
        <w:rPr>
          <w:b/>
          <w:sz w:val="24"/>
        </w:rPr>
      </w:pPr>
      <w:r w:rsidRPr="00431B48">
        <w:rPr>
          <w:b/>
          <w:sz w:val="24"/>
        </w:rPr>
        <w:t>Sexual Offences Act 2003</w:t>
      </w:r>
    </w:p>
    <w:p w14:paraId="74CBCDC3" w14:textId="77777777" w:rsidR="000D23EB" w:rsidRPr="00431B48" w:rsidRDefault="000122D8">
      <w:pPr>
        <w:pStyle w:val="BodyText"/>
        <w:spacing w:before="93" w:line="278" w:lineRule="auto"/>
        <w:ind w:left="100" w:right="122"/>
      </w:pPr>
      <w:r w:rsidRPr="00431B48">
        <w:br w:type="column"/>
      </w:r>
      <w:r w:rsidRPr="00431B48">
        <w:t xml:space="preserve">How </w:t>
      </w:r>
      <w:proofErr w:type="spellStart"/>
      <w:r w:rsidRPr="00431B48">
        <w:t>organisations</w:t>
      </w:r>
      <w:proofErr w:type="spellEnd"/>
      <w:r w:rsidRPr="00431B48">
        <w:t xml:space="preserve"> and individuals should work together to safeguard and promote the welfare of children. It is addressed to Chief Officers, senior and operational managers as well as practitioners and front-line managers who have </w:t>
      </w:r>
      <w:proofErr w:type="gramStart"/>
      <w:r w:rsidRPr="00431B48">
        <w:t>particular responsibilities</w:t>
      </w:r>
      <w:proofErr w:type="gramEnd"/>
      <w:r w:rsidRPr="00431B48">
        <w:t xml:space="preserve"> for safeguarding and promoting the welfare of children.</w:t>
      </w:r>
    </w:p>
    <w:p w14:paraId="49A19A11" w14:textId="77777777" w:rsidR="000D23EB" w:rsidRPr="00431B48" w:rsidRDefault="000D23EB">
      <w:pPr>
        <w:pStyle w:val="BodyText"/>
        <w:rPr>
          <w:sz w:val="26"/>
        </w:rPr>
      </w:pPr>
    </w:p>
    <w:p w14:paraId="57A04B20" w14:textId="77777777" w:rsidR="000D23EB" w:rsidRPr="00431B48" w:rsidRDefault="000D23EB">
      <w:pPr>
        <w:pStyle w:val="BodyText"/>
        <w:rPr>
          <w:sz w:val="26"/>
        </w:rPr>
      </w:pPr>
    </w:p>
    <w:p w14:paraId="3B6EF95F" w14:textId="77777777" w:rsidR="000D23EB" w:rsidRPr="00431B48" w:rsidRDefault="000D23EB">
      <w:pPr>
        <w:pStyle w:val="BodyText"/>
        <w:spacing w:before="4"/>
        <w:rPr>
          <w:sz w:val="31"/>
        </w:rPr>
      </w:pPr>
    </w:p>
    <w:p w14:paraId="2B6176D2" w14:textId="77777777" w:rsidR="000D23EB" w:rsidRPr="00431B48" w:rsidRDefault="000122D8">
      <w:pPr>
        <w:pStyle w:val="BodyText"/>
        <w:spacing w:before="1" w:line="278" w:lineRule="auto"/>
        <w:ind w:left="100" w:right="230"/>
      </w:pPr>
      <w:r w:rsidRPr="00431B48">
        <w:t>All Wales child protection procedures, implemented on April 1st</w:t>
      </w:r>
      <w:proofErr w:type="gramStart"/>
      <w:r w:rsidRPr="00431B48">
        <w:t xml:space="preserve"> 2008</w:t>
      </w:r>
      <w:proofErr w:type="gramEnd"/>
      <w:r w:rsidRPr="00431B48">
        <w:t>, will help safeguard children and promote their welfare.</w:t>
      </w:r>
    </w:p>
    <w:p w14:paraId="551830CD" w14:textId="77777777" w:rsidR="000D23EB" w:rsidRPr="00431B48" w:rsidRDefault="000D23EB">
      <w:pPr>
        <w:pStyle w:val="BodyText"/>
        <w:rPr>
          <w:sz w:val="26"/>
        </w:rPr>
      </w:pPr>
    </w:p>
    <w:p w14:paraId="1C151280" w14:textId="77777777" w:rsidR="000D23EB" w:rsidRPr="00431B48" w:rsidRDefault="000D23EB">
      <w:pPr>
        <w:pStyle w:val="BodyText"/>
        <w:rPr>
          <w:sz w:val="26"/>
        </w:rPr>
      </w:pPr>
    </w:p>
    <w:p w14:paraId="6F736CCC" w14:textId="5AE0549A" w:rsidR="000D23EB" w:rsidRDefault="000D23EB">
      <w:pPr>
        <w:pStyle w:val="BodyText"/>
        <w:rPr>
          <w:sz w:val="26"/>
        </w:rPr>
      </w:pPr>
    </w:p>
    <w:p w14:paraId="6B1A72FB" w14:textId="77777777" w:rsidR="000122D8" w:rsidRPr="00431B48" w:rsidRDefault="000122D8">
      <w:pPr>
        <w:pStyle w:val="BodyText"/>
        <w:rPr>
          <w:sz w:val="26"/>
        </w:rPr>
      </w:pPr>
    </w:p>
    <w:p w14:paraId="3A21C612" w14:textId="77777777" w:rsidR="000D23EB" w:rsidRPr="00431B48" w:rsidRDefault="000D23EB">
      <w:pPr>
        <w:pStyle w:val="BodyText"/>
        <w:rPr>
          <w:sz w:val="26"/>
        </w:rPr>
      </w:pPr>
    </w:p>
    <w:p w14:paraId="70F03C59" w14:textId="77777777" w:rsidR="000122D8" w:rsidRPr="00431B48" w:rsidRDefault="000122D8">
      <w:pPr>
        <w:pStyle w:val="BodyText"/>
        <w:spacing w:before="4"/>
        <w:rPr>
          <w:sz w:val="26"/>
        </w:rPr>
      </w:pPr>
    </w:p>
    <w:p w14:paraId="0B21F996" w14:textId="77777777" w:rsidR="000D23EB" w:rsidRPr="00431B48" w:rsidRDefault="000122D8">
      <w:pPr>
        <w:pStyle w:val="BodyText"/>
        <w:spacing w:line="278" w:lineRule="auto"/>
        <w:ind w:left="100" w:right="150"/>
      </w:pPr>
      <w:r w:rsidRPr="00431B48">
        <w:t>Guidance includes the framework for safeguarding in Wales and safeguarding roles and responsibilities in the education service. It covers safeguarding responsibilities in specific circumstances and details safer recruitment practice under the Disclosure and Barring Service.</w:t>
      </w:r>
    </w:p>
    <w:p w14:paraId="3170B6C0" w14:textId="77777777" w:rsidR="000D23EB" w:rsidRPr="00431B48" w:rsidRDefault="000D23EB">
      <w:pPr>
        <w:pStyle w:val="BodyText"/>
        <w:rPr>
          <w:sz w:val="26"/>
        </w:rPr>
      </w:pPr>
    </w:p>
    <w:p w14:paraId="4C1FB3A0" w14:textId="77777777" w:rsidR="000D23EB" w:rsidRPr="00431B48" w:rsidRDefault="000D23EB">
      <w:pPr>
        <w:pStyle w:val="BodyText"/>
        <w:rPr>
          <w:sz w:val="26"/>
        </w:rPr>
      </w:pPr>
    </w:p>
    <w:p w14:paraId="773ACCB9" w14:textId="77777777" w:rsidR="000D23EB" w:rsidRPr="00431B48" w:rsidRDefault="000D23EB">
      <w:pPr>
        <w:pStyle w:val="BodyText"/>
        <w:spacing w:before="5"/>
        <w:rPr>
          <w:sz w:val="31"/>
        </w:rPr>
      </w:pPr>
    </w:p>
    <w:p w14:paraId="25CCDFFA" w14:textId="77777777" w:rsidR="000D23EB" w:rsidRPr="00431B48" w:rsidRDefault="000122D8">
      <w:pPr>
        <w:pStyle w:val="BodyText"/>
        <w:spacing w:line="278" w:lineRule="auto"/>
        <w:ind w:left="100" w:right="230"/>
      </w:pPr>
      <w:r w:rsidRPr="00431B48">
        <w:t>A guide to inter-agency working to safeguard and promote the welfare of children.</w:t>
      </w:r>
    </w:p>
    <w:p w14:paraId="3FB93C95" w14:textId="77777777" w:rsidR="000D23EB" w:rsidRPr="00431B48" w:rsidRDefault="000D23EB">
      <w:pPr>
        <w:pStyle w:val="BodyText"/>
        <w:rPr>
          <w:sz w:val="26"/>
        </w:rPr>
      </w:pPr>
    </w:p>
    <w:p w14:paraId="4055F3E6" w14:textId="2C2EBE2E" w:rsidR="000D23EB" w:rsidRDefault="000D23EB">
      <w:pPr>
        <w:pStyle w:val="BodyText"/>
        <w:rPr>
          <w:sz w:val="26"/>
        </w:rPr>
      </w:pPr>
    </w:p>
    <w:p w14:paraId="1842BDCF" w14:textId="53787288" w:rsidR="000122D8" w:rsidRDefault="000122D8">
      <w:pPr>
        <w:pStyle w:val="BodyText"/>
        <w:rPr>
          <w:sz w:val="26"/>
        </w:rPr>
      </w:pPr>
    </w:p>
    <w:p w14:paraId="4ECEBE6C" w14:textId="77777777" w:rsidR="000122D8" w:rsidRPr="00431B48" w:rsidRDefault="000122D8">
      <w:pPr>
        <w:pStyle w:val="BodyText"/>
        <w:rPr>
          <w:sz w:val="26"/>
        </w:rPr>
      </w:pPr>
    </w:p>
    <w:p w14:paraId="3C7A9B3E" w14:textId="77777777" w:rsidR="000D23EB" w:rsidRPr="00431B48" w:rsidRDefault="000D23EB">
      <w:pPr>
        <w:pStyle w:val="BodyText"/>
        <w:spacing w:before="5"/>
        <w:rPr>
          <w:sz w:val="31"/>
        </w:rPr>
      </w:pPr>
    </w:p>
    <w:p w14:paraId="46A26773" w14:textId="77777777" w:rsidR="000D23EB" w:rsidRPr="00431B48" w:rsidRDefault="000122D8">
      <w:pPr>
        <w:pStyle w:val="BodyText"/>
        <w:spacing w:before="1" w:line="278" w:lineRule="auto"/>
        <w:ind w:left="100" w:right="230"/>
      </w:pPr>
      <w:r w:rsidRPr="00431B48">
        <w:t>Clarifies what constitutes a crime of a sexual nature against children, young people and adults. The Act does not limit children’s right to sex and relationships education and sexual health support and advice.</w:t>
      </w:r>
    </w:p>
    <w:p w14:paraId="5F677D05" w14:textId="77777777" w:rsidR="000D23EB" w:rsidRPr="00431B48" w:rsidRDefault="000D23EB">
      <w:pPr>
        <w:spacing w:line="278" w:lineRule="auto"/>
        <w:sectPr w:rsidR="000D23EB" w:rsidRPr="00431B48">
          <w:type w:val="continuous"/>
          <w:pgSz w:w="11900" w:h="16840"/>
          <w:pgMar w:top="1180" w:right="1100" w:bottom="1400" w:left="1100" w:header="720" w:footer="720" w:gutter="0"/>
          <w:cols w:num="2" w:space="720" w:equalWidth="0">
            <w:col w:w="1767" w:space="833"/>
            <w:col w:w="7100"/>
          </w:cols>
        </w:sectPr>
      </w:pPr>
    </w:p>
    <w:p w14:paraId="0A2AE180" w14:textId="77777777" w:rsidR="000D23EB" w:rsidRPr="00431B48" w:rsidRDefault="000D23EB">
      <w:pPr>
        <w:pStyle w:val="BodyText"/>
        <w:rPr>
          <w:sz w:val="20"/>
        </w:rPr>
      </w:pPr>
    </w:p>
    <w:p w14:paraId="2A199B02" w14:textId="77777777" w:rsidR="000D23EB" w:rsidRPr="00431B48" w:rsidRDefault="000D23EB">
      <w:pPr>
        <w:pStyle w:val="BodyText"/>
        <w:spacing w:before="2"/>
        <w:rPr>
          <w:sz w:val="23"/>
        </w:rPr>
      </w:pPr>
    </w:p>
    <w:p w14:paraId="335C5559" w14:textId="77777777" w:rsidR="000D23EB" w:rsidRPr="00431B48" w:rsidRDefault="000D23EB">
      <w:pPr>
        <w:rPr>
          <w:sz w:val="23"/>
        </w:rPr>
        <w:sectPr w:rsidR="000D23EB" w:rsidRPr="00431B48">
          <w:pgSz w:w="11900" w:h="16840"/>
          <w:pgMar w:top="1180" w:right="1100" w:bottom="1400" w:left="1100" w:header="960" w:footer="1210" w:gutter="0"/>
          <w:cols w:space="720"/>
        </w:sectPr>
      </w:pPr>
    </w:p>
    <w:p w14:paraId="784304F4" w14:textId="77777777" w:rsidR="000D23EB" w:rsidRPr="00431B48" w:rsidRDefault="000122D8">
      <w:pPr>
        <w:pStyle w:val="Heading1"/>
        <w:spacing w:before="92" w:line="242" w:lineRule="auto"/>
        <w:ind w:right="64"/>
      </w:pPr>
      <w:r w:rsidRPr="00431B48">
        <w:t>Safeguarding Vulnerable Groups Act 2006</w:t>
      </w:r>
    </w:p>
    <w:p w14:paraId="3E220BBD" w14:textId="77777777" w:rsidR="000D23EB" w:rsidRPr="00431B48" w:rsidRDefault="000D23EB">
      <w:pPr>
        <w:pStyle w:val="BodyText"/>
        <w:rPr>
          <w:b/>
          <w:sz w:val="26"/>
        </w:rPr>
      </w:pPr>
    </w:p>
    <w:p w14:paraId="3B291851" w14:textId="77777777" w:rsidR="000D23EB" w:rsidRPr="00431B48" w:rsidRDefault="000D23EB">
      <w:pPr>
        <w:pStyle w:val="BodyText"/>
        <w:rPr>
          <w:b/>
          <w:sz w:val="26"/>
        </w:rPr>
      </w:pPr>
    </w:p>
    <w:p w14:paraId="3296C048" w14:textId="77777777" w:rsidR="000D23EB" w:rsidRPr="00431B48" w:rsidRDefault="000D23EB">
      <w:pPr>
        <w:pStyle w:val="BodyText"/>
        <w:rPr>
          <w:b/>
          <w:sz w:val="26"/>
        </w:rPr>
      </w:pPr>
    </w:p>
    <w:p w14:paraId="5C5B505D" w14:textId="77777777" w:rsidR="000D23EB" w:rsidRPr="00431B48" w:rsidRDefault="000D23EB">
      <w:pPr>
        <w:pStyle w:val="BodyText"/>
        <w:spacing w:before="7"/>
        <w:rPr>
          <w:b/>
          <w:sz w:val="21"/>
        </w:rPr>
      </w:pPr>
    </w:p>
    <w:p w14:paraId="3626E131" w14:textId="77777777" w:rsidR="000D23EB" w:rsidRPr="00431B48" w:rsidRDefault="000122D8">
      <w:pPr>
        <w:spacing w:line="242" w:lineRule="auto"/>
        <w:ind w:left="100"/>
        <w:rPr>
          <w:b/>
          <w:sz w:val="24"/>
        </w:rPr>
      </w:pPr>
      <w:r w:rsidRPr="00431B48">
        <w:rPr>
          <w:b/>
          <w:sz w:val="24"/>
        </w:rPr>
        <w:t>Wales Interim Policy and Procedures for the Protection of Vulnerable Adults from Abuse (2013)</w:t>
      </w:r>
    </w:p>
    <w:p w14:paraId="0C99F3BD" w14:textId="77777777" w:rsidR="000D23EB" w:rsidRPr="00431B48" w:rsidRDefault="000D23EB">
      <w:pPr>
        <w:pStyle w:val="BodyText"/>
        <w:spacing w:before="2"/>
        <w:rPr>
          <w:b/>
          <w:sz w:val="32"/>
        </w:rPr>
      </w:pPr>
    </w:p>
    <w:p w14:paraId="09285276" w14:textId="77777777" w:rsidR="000D23EB" w:rsidRPr="00431B48" w:rsidRDefault="000122D8">
      <w:pPr>
        <w:spacing w:line="242" w:lineRule="auto"/>
        <w:ind w:left="100" w:right="29"/>
        <w:rPr>
          <w:b/>
          <w:sz w:val="24"/>
        </w:rPr>
      </w:pPr>
      <w:r w:rsidRPr="00431B48">
        <w:rPr>
          <w:b/>
          <w:sz w:val="24"/>
        </w:rPr>
        <w:t xml:space="preserve">Female Genital Mutilation </w:t>
      </w:r>
      <w:r w:rsidRPr="00431B48">
        <w:rPr>
          <w:b/>
          <w:spacing w:val="-6"/>
          <w:sz w:val="24"/>
        </w:rPr>
        <w:t xml:space="preserve">Act </w:t>
      </w:r>
      <w:r w:rsidRPr="00431B48">
        <w:rPr>
          <w:b/>
          <w:sz w:val="24"/>
        </w:rPr>
        <w:t>2004</w:t>
      </w:r>
    </w:p>
    <w:p w14:paraId="6AF02034" w14:textId="77777777" w:rsidR="000D23EB" w:rsidRPr="00431B48" w:rsidRDefault="000D23EB">
      <w:pPr>
        <w:pStyle w:val="BodyText"/>
        <w:rPr>
          <w:b/>
          <w:sz w:val="26"/>
        </w:rPr>
      </w:pPr>
    </w:p>
    <w:p w14:paraId="19105298" w14:textId="77777777" w:rsidR="000D23EB" w:rsidRPr="00431B48" w:rsidRDefault="000D23EB">
      <w:pPr>
        <w:pStyle w:val="BodyText"/>
        <w:rPr>
          <w:b/>
          <w:sz w:val="26"/>
        </w:rPr>
      </w:pPr>
    </w:p>
    <w:p w14:paraId="223D53AF" w14:textId="77777777" w:rsidR="000D23EB" w:rsidRPr="00431B48" w:rsidRDefault="000D23EB">
      <w:pPr>
        <w:pStyle w:val="BodyText"/>
        <w:rPr>
          <w:b/>
          <w:sz w:val="26"/>
        </w:rPr>
      </w:pPr>
    </w:p>
    <w:p w14:paraId="25C01879" w14:textId="77777777" w:rsidR="000D23EB" w:rsidRPr="00431B48" w:rsidRDefault="000D23EB">
      <w:pPr>
        <w:pStyle w:val="BodyText"/>
        <w:spacing w:before="9"/>
        <w:rPr>
          <w:b/>
          <w:sz w:val="26"/>
        </w:rPr>
      </w:pPr>
    </w:p>
    <w:p w14:paraId="5577A0C3" w14:textId="77777777" w:rsidR="000D23EB" w:rsidRPr="00431B48" w:rsidRDefault="000122D8">
      <w:pPr>
        <w:spacing w:line="242" w:lineRule="auto"/>
        <w:ind w:left="100" w:right="162"/>
        <w:rPr>
          <w:b/>
          <w:sz w:val="24"/>
        </w:rPr>
      </w:pPr>
      <w:r w:rsidRPr="00431B48">
        <w:rPr>
          <w:b/>
          <w:sz w:val="24"/>
        </w:rPr>
        <w:t xml:space="preserve">Forced Marriage </w:t>
      </w:r>
      <w:r w:rsidRPr="00431B48">
        <w:rPr>
          <w:b/>
          <w:spacing w:val="-6"/>
          <w:sz w:val="24"/>
        </w:rPr>
        <w:t xml:space="preserve">Act </w:t>
      </w:r>
      <w:r w:rsidRPr="00431B48">
        <w:rPr>
          <w:b/>
          <w:sz w:val="24"/>
        </w:rPr>
        <w:t>2007</w:t>
      </w:r>
    </w:p>
    <w:p w14:paraId="695F4BA1" w14:textId="77777777" w:rsidR="000D23EB" w:rsidRPr="00431B48" w:rsidRDefault="000D23EB">
      <w:pPr>
        <w:pStyle w:val="BodyText"/>
        <w:rPr>
          <w:b/>
          <w:sz w:val="26"/>
        </w:rPr>
      </w:pPr>
    </w:p>
    <w:p w14:paraId="07E543D2" w14:textId="77777777" w:rsidR="000D23EB" w:rsidRPr="00431B48" w:rsidRDefault="000D23EB">
      <w:pPr>
        <w:pStyle w:val="BodyText"/>
        <w:rPr>
          <w:b/>
          <w:sz w:val="26"/>
        </w:rPr>
      </w:pPr>
    </w:p>
    <w:p w14:paraId="01678B16" w14:textId="77777777" w:rsidR="000D23EB" w:rsidRPr="00431B48" w:rsidRDefault="000D23EB">
      <w:pPr>
        <w:pStyle w:val="BodyText"/>
        <w:spacing w:before="9"/>
        <w:rPr>
          <w:b/>
          <w:sz w:val="38"/>
        </w:rPr>
      </w:pPr>
    </w:p>
    <w:p w14:paraId="7C4F7C84" w14:textId="77777777" w:rsidR="000D23EB" w:rsidRPr="00431B48" w:rsidRDefault="000122D8">
      <w:pPr>
        <w:spacing w:line="242" w:lineRule="auto"/>
        <w:ind w:left="100" w:right="224"/>
        <w:rPr>
          <w:b/>
          <w:sz w:val="24"/>
        </w:rPr>
      </w:pPr>
      <w:r w:rsidRPr="00431B48">
        <w:rPr>
          <w:b/>
          <w:sz w:val="24"/>
        </w:rPr>
        <w:t>Criminal Justice and Immigration Act 2008</w:t>
      </w:r>
    </w:p>
    <w:p w14:paraId="1068D6A2" w14:textId="77777777" w:rsidR="000D23EB" w:rsidRPr="00431B48" w:rsidRDefault="000122D8">
      <w:pPr>
        <w:pStyle w:val="BodyText"/>
        <w:spacing w:before="132" w:line="278" w:lineRule="auto"/>
        <w:ind w:left="100" w:right="535"/>
      </w:pPr>
      <w:r w:rsidRPr="00431B48">
        <w:br w:type="column"/>
      </w:r>
      <w:r w:rsidRPr="00431B48">
        <w:t>The Act aims to avoid harm, or risk of harm, by preventing people who are deemed unsuitable to work with children and vulnerable adults from gaining access to them through their work.</w:t>
      </w:r>
    </w:p>
    <w:p w14:paraId="20FEBB7A" w14:textId="77777777" w:rsidR="000D23EB" w:rsidRPr="00431B48" w:rsidRDefault="000D23EB">
      <w:pPr>
        <w:pStyle w:val="BodyText"/>
        <w:rPr>
          <w:sz w:val="26"/>
        </w:rPr>
      </w:pPr>
    </w:p>
    <w:p w14:paraId="676AFAC1" w14:textId="77777777" w:rsidR="000D23EB" w:rsidRPr="00431B48" w:rsidRDefault="000D23EB">
      <w:pPr>
        <w:pStyle w:val="BodyText"/>
        <w:rPr>
          <w:sz w:val="26"/>
        </w:rPr>
      </w:pPr>
    </w:p>
    <w:p w14:paraId="0E22AA3D" w14:textId="77777777" w:rsidR="000D23EB" w:rsidRPr="00431B48" w:rsidRDefault="000D23EB">
      <w:pPr>
        <w:pStyle w:val="BodyText"/>
        <w:spacing w:before="5"/>
        <w:rPr>
          <w:sz w:val="31"/>
        </w:rPr>
      </w:pPr>
    </w:p>
    <w:p w14:paraId="62E99DC1" w14:textId="77777777" w:rsidR="000D23EB" w:rsidRPr="00431B48" w:rsidRDefault="000122D8">
      <w:pPr>
        <w:pStyle w:val="BodyText"/>
        <w:spacing w:line="278" w:lineRule="auto"/>
        <w:ind w:left="100" w:right="269"/>
      </w:pPr>
      <w:r w:rsidRPr="00431B48">
        <w:t>A guide for safeguarding work for all those concerned with the welfare of vulnerable adults employed in the statutory, third (voluntary) and private sectors, in health, social care, the police and other services.</w:t>
      </w:r>
    </w:p>
    <w:p w14:paraId="3755ECC6" w14:textId="77777777" w:rsidR="000D23EB" w:rsidRPr="00431B48" w:rsidRDefault="000D23EB">
      <w:pPr>
        <w:pStyle w:val="BodyText"/>
        <w:rPr>
          <w:sz w:val="26"/>
        </w:rPr>
      </w:pPr>
    </w:p>
    <w:p w14:paraId="766944D6" w14:textId="77777777" w:rsidR="000D23EB" w:rsidRPr="00431B48" w:rsidRDefault="000D23EB">
      <w:pPr>
        <w:pStyle w:val="BodyText"/>
        <w:rPr>
          <w:sz w:val="26"/>
        </w:rPr>
      </w:pPr>
    </w:p>
    <w:p w14:paraId="3F82CEF0" w14:textId="77777777" w:rsidR="000D23EB" w:rsidRPr="00431B48" w:rsidRDefault="000D23EB">
      <w:pPr>
        <w:pStyle w:val="BodyText"/>
        <w:rPr>
          <w:sz w:val="26"/>
        </w:rPr>
      </w:pPr>
    </w:p>
    <w:p w14:paraId="18499725" w14:textId="77777777" w:rsidR="000D23EB" w:rsidRPr="00431B48" w:rsidRDefault="000D23EB">
      <w:pPr>
        <w:pStyle w:val="BodyText"/>
        <w:rPr>
          <w:sz w:val="35"/>
        </w:rPr>
      </w:pPr>
    </w:p>
    <w:p w14:paraId="5A3824A1" w14:textId="77777777" w:rsidR="000D23EB" w:rsidRPr="00431B48" w:rsidRDefault="0061760B">
      <w:pPr>
        <w:pStyle w:val="BodyText"/>
        <w:spacing w:line="278" w:lineRule="auto"/>
        <w:ind w:left="100" w:right="164"/>
      </w:pPr>
      <w:r>
        <w:pict w14:anchorId="15B6C5EC">
          <v:polyline id="_x0000_s2050" style="position:absolute;left:0;text-align:left;z-index:-251658752;mso-position-horizontal-relative:page" points="911.3pt,15.6pt,910.65pt,15.6pt,910.65pt,-.45pt,570pt,-.45pt,570pt,15.6pt,570pt,31.65pt,911.3pt,31.65pt,911.3pt,15.6pt" coordorigin="3800,-3" coordsize="6826,642" fillcolor="#fafafa" stroked="f">
            <v:path arrowok="t"/>
            <o:lock v:ext="edit" verticies="t"/>
            <w10:wrap anchorx="page"/>
          </v:polyline>
        </w:pict>
      </w:r>
      <w:r w:rsidR="000122D8" w:rsidRPr="00431B48">
        <w:t xml:space="preserve">FGM has been a criminal offence in the UK since 1985. In 2003 it also became a criminal offence for UK nationals or permanent </w:t>
      </w:r>
      <w:r w:rsidR="000122D8" w:rsidRPr="00431B48">
        <w:rPr>
          <w:shd w:val="clear" w:color="auto" w:fill="FAFAFA"/>
        </w:rPr>
        <w:t>UK residents to take their child abroad to have female genital</w:t>
      </w:r>
      <w:r w:rsidR="000122D8" w:rsidRPr="00431B48">
        <w:t xml:space="preserve"> </w:t>
      </w:r>
      <w:r w:rsidR="000122D8" w:rsidRPr="00431B48">
        <w:rPr>
          <w:shd w:val="clear" w:color="auto" w:fill="FAFAFA"/>
        </w:rPr>
        <w:t xml:space="preserve">mutilation. </w:t>
      </w:r>
    </w:p>
    <w:p w14:paraId="36E22B8D" w14:textId="77777777" w:rsidR="000D23EB" w:rsidRPr="00431B48" w:rsidRDefault="000D23EB">
      <w:pPr>
        <w:pStyle w:val="BodyText"/>
        <w:rPr>
          <w:sz w:val="26"/>
        </w:rPr>
      </w:pPr>
    </w:p>
    <w:p w14:paraId="1DAD8BC1" w14:textId="77777777" w:rsidR="000D23EB" w:rsidRPr="00431B48" w:rsidRDefault="000D23EB">
      <w:pPr>
        <w:pStyle w:val="BodyText"/>
        <w:rPr>
          <w:sz w:val="26"/>
        </w:rPr>
      </w:pPr>
    </w:p>
    <w:p w14:paraId="25D72230" w14:textId="77777777" w:rsidR="000D23EB" w:rsidRPr="00431B48" w:rsidRDefault="000D23EB">
      <w:pPr>
        <w:pStyle w:val="BodyText"/>
        <w:spacing w:before="5"/>
        <w:rPr>
          <w:sz w:val="31"/>
        </w:rPr>
      </w:pPr>
    </w:p>
    <w:p w14:paraId="49475252" w14:textId="77777777" w:rsidR="000D23EB" w:rsidRPr="00431B48" w:rsidRDefault="000122D8">
      <w:pPr>
        <w:pStyle w:val="BodyText"/>
        <w:spacing w:line="278" w:lineRule="auto"/>
        <w:ind w:left="100"/>
      </w:pPr>
      <w:r w:rsidRPr="00431B48">
        <w:rPr>
          <w:color w:val="0B0C0C"/>
        </w:rPr>
        <w:t>It is a criminal offence in England and Wales to force someone to marry. The maximum penalty for an offence is 7 years’ imprisonment.</w:t>
      </w:r>
    </w:p>
    <w:p w14:paraId="502DE72F" w14:textId="77777777" w:rsidR="000D23EB" w:rsidRPr="00431B48" w:rsidRDefault="000D23EB">
      <w:pPr>
        <w:pStyle w:val="BodyText"/>
        <w:rPr>
          <w:sz w:val="26"/>
        </w:rPr>
      </w:pPr>
    </w:p>
    <w:p w14:paraId="0C0AD649" w14:textId="77777777" w:rsidR="000D23EB" w:rsidRPr="00431B48" w:rsidRDefault="000D23EB">
      <w:pPr>
        <w:pStyle w:val="BodyText"/>
        <w:rPr>
          <w:sz w:val="26"/>
        </w:rPr>
      </w:pPr>
    </w:p>
    <w:p w14:paraId="16CB6AB1" w14:textId="77777777" w:rsidR="000D23EB" w:rsidRPr="00431B48" w:rsidRDefault="000D23EB">
      <w:pPr>
        <w:pStyle w:val="BodyText"/>
        <w:spacing w:before="5"/>
        <w:rPr>
          <w:sz w:val="31"/>
        </w:rPr>
      </w:pPr>
    </w:p>
    <w:p w14:paraId="14C8B64F" w14:textId="77777777" w:rsidR="000D23EB" w:rsidRPr="00431B48" w:rsidRDefault="000122D8">
      <w:pPr>
        <w:pStyle w:val="BodyText"/>
        <w:spacing w:before="1" w:line="278" w:lineRule="auto"/>
        <w:ind w:left="100" w:right="123"/>
      </w:pPr>
      <w:r w:rsidRPr="00431B48">
        <w:t xml:space="preserve">New powers to deal with anti-social and violent </w:t>
      </w:r>
      <w:proofErr w:type="spellStart"/>
      <w:r w:rsidRPr="00431B48">
        <w:t>behaviour</w:t>
      </w:r>
      <w:proofErr w:type="spellEnd"/>
      <w:r w:rsidRPr="00431B48">
        <w:t>, make sentencing decisions clearer and introduces a new community sentence for young offenders.</w:t>
      </w:r>
    </w:p>
    <w:p w14:paraId="7306BC67" w14:textId="77777777" w:rsidR="000D23EB" w:rsidRPr="00431B48" w:rsidRDefault="000D23EB">
      <w:pPr>
        <w:spacing w:line="278" w:lineRule="auto"/>
        <w:sectPr w:rsidR="000D23EB" w:rsidRPr="00431B48">
          <w:type w:val="continuous"/>
          <w:pgSz w:w="11900" w:h="16840"/>
          <w:pgMar w:top="1180" w:right="1100" w:bottom="1400" w:left="1100" w:header="720" w:footer="720" w:gutter="0"/>
          <w:cols w:num="2" w:space="720" w:equalWidth="0">
            <w:col w:w="1718" w:space="882"/>
            <w:col w:w="7100"/>
          </w:cols>
        </w:sectPr>
      </w:pPr>
    </w:p>
    <w:p w14:paraId="3BB0A73A" w14:textId="77777777" w:rsidR="000D23EB" w:rsidRPr="00431B48" w:rsidRDefault="000D23EB">
      <w:pPr>
        <w:pStyle w:val="BodyText"/>
        <w:rPr>
          <w:sz w:val="20"/>
        </w:rPr>
      </w:pPr>
    </w:p>
    <w:p w14:paraId="030C2E58" w14:textId="77777777" w:rsidR="000D23EB" w:rsidRPr="00431B48" w:rsidRDefault="000D23EB">
      <w:pPr>
        <w:pStyle w:val="BodyText"/>
        <w:rPr>
          <w:sz w:val="20"/>
        </w:rPr>
      </w:pPr>
    </w:p>
    <w:p w14:paraId="02471EDD" w14:textId="77777777" w:rsidR="000D23EB" w:rsidRPr="00431B48" w:rsidRDefault="000D23EB">
      <w:pPr>
        <w:rPr>
          <w:sz w:val="26"/>
        </w:rPr>
        <w:sectPr w:rsidR="000D23EB" w:rsidRPr="00431B48">
          <w:pgSz w:w="11900" w:h="16840"/>
          <w:pgMar w:top="1180" w:right="1100" w:bottom="1400" w:left="1100" w:header="960" w:footer="1210" w:gutter="0"/>
          <w:cols w:space="720"/>
        </w:sectPr>
      </w:pPr>
    </w:p>
    <w:p w14:paraId="7D77C3A9" w14:textId="77777777" w:rsidR="000D23EB" w:rsidRPr="00431B48" w:rsidRDefault="000122D8">
      <w:pPr>
        <w:pStyle w:val="Heading1"/>
        <w:spacing w:before="113" w:line="242" w:lineRule="auto"/>
      </w:pPr>
      <w:r w:rsidRPr="00431B48">
        <w:t>Violence Against Women, Domestic Abuse and Sexual Violence (wales) Act 2015</w:t>
      </w:r>
    </w:p>
    <w:p w14:paraId="769A34F7" w14:textId="77777777" w:rsidR="000D23EB" w:rsidRPr="00431B48" w:rsidRDefault="000D23EB">
      <w:pPr>
        <w:pStyle w:val="BodyText"/>
        <w:rPr>
          <w:b/>
          <w:sz w:val="26"/>
        </w:rPr>
      </w:pPr>
    </w:p>
    <w:p w14:paraId="14EEDA73" w14:textId="77777777" w:rsidR="000D23EB" w:rsidRPr="00431B48" w:rsidRDefault="000D23EB">
      <w:pPr>
        <w:pStyle w:val="BodyText"/>
        <w:rPr>
          <w:b/>
          <w:sz w:val="26"/>
        </w:rPr>
      </w:pPr>
    </w:p>
    <w:p w14:paraId="2A3F24DA" w14:textId="77777777" w:rsidR="000D23EB" w:rsidRPr="00431B48" w:rsidRDefault="000122D8">
      <w:pPr>
        <w:spacing w:before="153" w:line="242" w:lineRule="auto"/>
        <w:ind w:left="100"/>
        <w:rPr>
          <w:b/>
          <w:sz w:val="24"/>
        </w:rPr>
      </w:pPr>
      <w:r w:rsidRPr="00431B48">
        <w:rPr>
          <w:b/>
          <w:sz w:val="24"/>
        </w:rPr>
        <w:t>The Mental Capacity Act</w:t>
      </w:r>
    </w:p>
    <w:p w14:paraId="53758614" w14:textId="77777777" w:rsidR="000D23EB" w:rsidRPr="00431B48" w:rsidRDefault="000D23EB">
      <w:pPr>
        <w:pStyle w:val="BodyText"/>
        <w:rPr>
          <w:b/>
          <w:sz w:val="26"/>
        </w:rPr>
      </w:pPr>
    </w:p>
    <w:p w14:paraId="5EA580A9" w14:textId="77777777" w:rsidR="000D23EB" w:rsidRPr="00431B48" w:rsidRDefault="000D23EB">
      <w:pPr>
        <w:pStyle w:val="BodyText"/>
        <w:rPr>
          <w:b/>
          <w:sz w:val="26"/>
        </w:rPr>
      </w:pPr>
    </w:p>
    <w:p w14:paraId="0E45B39B" w14:textId="77777777" w:rsidR="000D23EB" w:rsidRPr="00431B48" w:rsidRDefault="000D23EB">
      <w:pPr>
        <w:pStyle w:val="BodyText"/>
        <w:rPr>
          <w:b/>
          <w:sz w:val="26"/>
        </w:rPr>
      </w:pPr>
    </w:p>
    <w:p w14:paraId="2307FD7A" w14:textId="77777777" w:rsidR="000D23EB" w:rsidRPr="00431B48" w:rsidRDefault="000D23EB">
      <w:pPr>
        <w:pStyle w:val="BodyText"/>
        <w:rPr>
          <w:b/>
          <w:sz w:val="26"/>
        </w:rPr>
      </w:pPr>
    </w:p>
    <w:p w14:paraId="049405B2" w14:textId="77777777" w:rsidR="000D23EB" w:rsidRPr="00431B48" w:rsidRDefault="000D23EB">
      <w:pPr>
        <w:pStyle w:val="BodyText"/>
        <w:rPr>
          <w:b/>
          <w:sz w:val="26"/>
        </w:rPr>
      </w:pPr>
    </w:p>
    <w:p w14:paraId="3DAB1F02" w14:textId="77777777" w:rsidR="000D23EB" w:rsidRPr="00431B48" w:rsidRDefault="000D23EB">
      <w:pPr>
        <w:pStyle w:val="BodyText"/>
        <w:rPr>
          <w:b/>
          <w:sz w:val="26"/>
        </w:rPr>
      </w:pPr>
    </w:p>
    <w:p w14:paraId="68D1630B" w14:textId="77777777" w:rsidR="000D23EB" w:rsidRPr="00431B48" w:rsidRDefault="000D23EB">
      <w:pPr>
        <w:pStyle w:val="BodyText"/>
        <w:rPr>
          <w:b/>
          <w:sz w:val="26"/>
        </w:rPr>
      </w:pPr>
    </w:p>
    <w:p w14:paraId="43D19C99" w14:textId="77777777" w:rsidR="000D23EB" w:rsidRPr="00431B48" w:rsidRDefault="000D23EB">
      <w:pPr>
        <w:pStyle w:val="BodyText"/>
        <w:rPr>
          <w:b/>
          <w:sz w:val="26"/>
        </w:rPr>
      </w:pPr>
    </w:p>
    <w:p w14:paraId="5B71803C" w14:textId="77777777" w:rsidR="000D23EB" w:rsidRPr="00431B48" w:rsidRDefault="000D23EB">
      <w:pPr>
        <w:pStyle w:val="BodyText"/>
        <w:rPr>
          <w:b/>
          <w:sz w:val="26"/>
        </w:rPr>
      </w:pPr>
    </w:p>
    <w:p w14:paraId="2C5151CB" w14:textId="77777777" w:rsidR="000D23EB" w:rsidRPr="00431B48" w:rsidRDefault="000D23EB">
      <w:pPr>
        <w:pStyle w:val="BodyText"/>
        <w:rPr>
          <w:b/>
          <w:sz w:val="26"/>
        </w:rPr>
      </w:pPr>
    </w:p>
    <w:p w14:paraId="46BBA3F9" w14:textId="77777777" w:rsidR="000D23EB" w:rsidRPr="00431B48" w:rsidRDefault="000D23EB">
      <w:pPr>
        <w:pStyle w:val="BodyText"/>
        <w:rPr>
          <w:b/>
          <w:sz w:val="26"/>
        </w:rPr>
      </w:pPr>
    </w:p>
    <w:p w14:paraId="278E6F62" w14:textId="77777777" w:rsidR="000D23EB" w:rsidRPr="00431B48" w:rsidRDefault="000D23EB">
      <w:pPr>
        <w:pStyle w:val="BodyText"/>
        <w:rPr>
          <w:b/>
          <w:sz w:val="26"/>
        </w:rPr>
      </w:pPr>
    </w:p>
    <w:p w14:paraId="1E53D9F8" w14:textId="77777777" w:rsidR="000D23EB" w:rsidRPr="00431B48" w:rsidRDefault="000D23EB">
      <w:pPr>
        <w:pStyle w:val="BodyText"/>
        <w:rPr>
          <w:b/>
          <w:sz w:val="26"/>
        </w:rPr>
      </w:pPr>
    </w:p>
    <w:p w14:paraId="11DDD0FE" w14:textId="77777777" w:rsidR="000D23EB" w:rsidRPr="00431B48" w:rsidRDefault="000D23EB">
      <w:pPr>
        <w:pStyle w:val="BodyText"/>
        <w:rPr>
          <w:b/>
          <w:sz w:val="26"/>
        </w:rPr>
      </w:pPr>
    </w:p>
    <w:p w14:paraId="05A76835" w14:textId="77777777" w:rsidR="000D23EB" w:rsidRPr="00431B48" w:rsidRDefault="000D23EB">
      <w:pPr>
        <w:pStyle w:val="BodyText"/>
        <w:rPr>
          <w:b/>
          <w:sz w:val="26"/>
        </w:rPr>
      </w:pPr>
    </w:p>
    <w:p w14:paraId="02557B1F" w14:textId="77777777" w:rsidR="000D23EB" w:rsidRPr="00431B48" w:rsidRDefault="000D23EB">
      <w:pPr>
        <w:pStyle w:val="BodyText"/>
        <w:rPr>
          <w:b/>
          <w:sz w:val="26"/>
        </w:rPr>
      </w:pPr>
    </w:p>
    <w:p w14:paraId="2460FAC7" w14:textId="77777777" w:rsidR="000D23EB" w:rsidRPr="00431B48" w:rsidRDefault="000D23EB">
      <w:pPr>
        <w:pStyle w:val="BodyText"/>
        <w:rPr>
          <w:b/>
          <w:sz w:val="26"/>
        </w:rPr>
      </w:pPr>
    </w:p>
    <w:p w14:paraId="378165B5" w14:textId="77777777" w:rsidR="000D23EB" w:rsidRPr="00431B48" w:rsidRDefault="000D23EB">
      <w:pPr>
        <w:pStyle w:val="BodyText"/>
        <w:spacing w:before="10"/>
        <w:rPr>
          <w:b/>
          <w:sz w:val="20"/>
        </w:rPr>
      </w:pPr>
    </w:p>
    <w:p w14:paraId="7A27B12F" w14:textId="77777777" w:rsidR="000D23EB" w:rsidRPr="00431B48" w:rsidRDefault="000122D8">
      <w:pPr>
        <w:spacing w:line="278" w:lineRule="auto"/>
        <w:ind w:left="100" w:right="38"/>
        <w:rPr>
          <w:b/>
          <w:sz w:val="24"/>
        </w:rPr>
      </w:pPr>
      <w:r w:rsidRPr="00431B48">
        <w:rPr>
          <w:b/>
          <w:sz w:val="24"/>
        </w:rPr>
        <w:t>Social Services and Well-Being Act (Wales) 2014</w:t>
      </w:r>
    </w:p>
    <w:p w14:paraId="5FC54F82" w14:textId="77777777" w:rsidR="000D23EB" w:rsidRPr="00431B48" w:rsidRDefault="000122D8">
      <w:pPr>
        <w:pStyle w:val="BodyText"/>
        <w:spacing w:before="93" w:line="278" w:lineRule="auto"/>
        <w:ind w:left="100" w:right="230"/>
      </w:pPr>
      <w:r w:rsidRPr="00431B48">
        <w:br w:type="column"/>
      </w:r>
      <w:r w:rsidRPr="00431B48">
        <w:t>The Act will improve arrangements to promote awareness of, and prevent, protect and support victims of gender-based violence, domestic abuse and sexual violence.</w:t>
      </w:r>
    </w:p>
    <w:p w14:paraId="2F881CBF" w14:textId="77777777" w:rsidR="000D23EB" w:rsidRPr="00431B48" w:rsidRDefault="000D23EB">
      <w:pPr>
        <w:pStyle w:val="BodyText"/>
        <w:rPr>
          <w:sz w:val="26"/>
        </w:rPr>
      </w:pPr>
    </w:p>
    <w:p w14:paraId="13C3A228" w14:textId="77777777" w:rsidR="000D23EB" w:rsidRPr="00431B48" w:rsidRDefault="000D23EB">
      <w:pPr>
        <w:pStyle w:val="BodyText"/>
        <w:rPr>
          <w:sz w:val="26"/>
        </w:rPr>
      </w:pPr>
    </w:p>
    <w:p w14:paraId="5330990B" w14:textId="77777777" w:rsidR="000D23EB" w:rsidRPr="00431B48" w:rsidRDefault="000D23EB">
      <w:pPr>
        <w:pStyle w:val="BodyText"/>
        <w:rPr>
          <w:sz w:val="26"/>
        </w:rPr>
      </w:pPr>
    </w:p>
    <w:p w14:paraId="0A6C23E6" w14:textId="77777777" w:rsidR="000D23EB" w:rsidRPr="00431B48" w:rsidRDefault="000D23EB">
      <w:pPr>
        <w:pStyle w:val="BodyText"/>
        <w:rPr>
          <w:sz w:val="26"/>
        </w:rPr>
      </w:pPr>
    </w:p>
    <w:p w14:paraId="71A9ED6B" w14:textId="77777777" w:rsidR="000D23EB" w:rsidRPr="00431B48" w:rsidRDefault="000D23EB">
      <w:pPr>
        <w:pStyle w:val="BodyText"/>
        <w:rPr>
          <w:sz w:val="26"/>
        </w:rPr>
      </w:pPr>
    </w:p>
    <w:p w14:paraId="1F060AEC" w14:textId="77777777" w:rsidR="000D23EB" w:rsidRPr="00431B48" w:rsidRDefault="000D23EB">
      <w:pPr>
        <w:pStyle w:val="BodyText"/>
        <w:rPr>
          <w:sz w:val="26"/>
        </w:rPr>
      </w:pPr>
    </w:p>
    <w:p w14:paraId="45DDCCB0" w14:textId="77777777" w:rsidR="000D23EB" w:rsidRPr="00431B48" w:rsidRDefault="000D23EB">
      <w:pPr>
        <w:pStyle w:val="BodyText"/>
        <w:rPr>
          <w:sz w:val="26"/>
        </w:rPr>
      </w:pPr>
    </w:p>
    <w:p w14:paraId="69024451" w14:textId="77777777" w:rsidR="000D23EB" w:rsidRPr="00431B48" w:rsidRDefault="000D23EB">
      <w:pPr>
        <w:pStyle w:val="BodyText"/>
        <w:spacing w:before="7"/>
        <w:rPr>
          <w:sz w:val="26"/>
        </w:rPr>
      </w:pPr>
    </w:p>
    <w:p w14:paraId="1703C31A" w14:textId="77777777" w:rsidR="000D23EB" w:rsidRPr="00431B48" w:rsidRDefault="000122D8">
      <w:pPr>
        <w:pStyle w:val="BodyText"/>
        <w:spacing w:before="1" w:line="283" w:lineRule="auto"/>
        <w:ind w:left="100" w:right="230"/>
      </w:pPr>
      <w:r w:rsidRPr="00431B48">
        <w:t>The Mental Capacity Act (MCA) is designed to protect and empower individuals who may lack the mental capacity to make their own decisions about their care and treatment. It is a law that applies to individuals aged 16 and over.</w:t>
      </w:r>
    </w:p>
    <w:p w14:paraId="06607099" w14:textId="77777777" w:rsidR="000D23EB" w:rsidRPr="00431B48" w:rsidRDefault="000D23EB">
      <w:pPr>
        <w:pStyle w:val="BodyText"/>
        <w:spacing w:before="6"/>
        <w:rPr>
          <w:sz w:val="27"/>
        </w:rPr>
      </w:pPr>
    </w:p>
    <w:p w14:paraId="3CCC613E" w14:textId="77777777" w:rsidR="000D23EB" w:rsidRPr="00431B48" w:rsidRDefault="000122D8">
      <w:pPr>
        <w:pStyle w:val="BodyText"/>
        <w:spacing w:line="278" w:lineRule="auto"/>
        <w:ind w:left="100" w:right="189"/>
      </w:pPr>
      <w:r w:rsidRPr="00431B48">
        <w:t xml:space="preserve">Everyone has the right to make his or her own decisions. Health and care professionals should always assume an individual has the capacity to </w:t>
      </w:r>
      <w:proofErr w:type="gramStart"/>
      <w:r w:rsidRPr="00431B48">
        <w:t>make a decision</w:t>
      </w:r>
      <w:proofErr w:type="gramEnd"/>
      <w:r w:rsidRPr="00431B48">
        <w:t xml:space="preserve"> themselves, unless it is proved otherwise through a capacity assessment.</w:t>
      </w:r>
    </w:p>
    <w:p w14:paraId="07BB6231" w14:textId="77777777" w:rsidR="000D23EB" w:rsidRPr="00431B48" w:rsidRDefault="000D23EB">
      <w:pPr>
        <w:pStyle w:val="BodyText"/>
        <w:spacing w:before="9"/>
        <w:rPr>
          <w:sz w:val="27"/>
        </w:rPr>
      </w:pPr>
    </w:p>
    <w:p w14:paraId="3AB29D09" w14:textId="77777777" w:rsidR="000D23EB" w:rsidRPr="00431B48" w:rsidRDefault="000122D8">
      <w:pPr>
        <w:pStyle w:val="BodyText"/>
        <w:spacing w:line="278" w:lineRule="auto"/>
        <w:ind w:left="100" w:right="407"/>
      </w:pPr>
      <w:r w:rsidRPr="00431B48">
        <w:t xml:space="preserve">People should also be provided with an independent advocate who will support them to make decisions in certain situations, such as serious treatment or where the individual might have significant restrictions placed on their freedom </w:t>
      </w:r>
      <w:r w:rsidRPr="00431B48">
        <w:rPr>
          <w:spacing w:val="-4"/>
        </w:rPr>
        <w:t xml:space="preserve">and </w:t>
      </w:r>
      <w:r w:rsidRPr="00431B48">
        <w:t>rights in their best</w:t>
      </w:r>
      <w:r w:rsidRPr="00431B48">
        <w:rPr>
          <w:spacing w:val="-3"/>
        </w:rPr>
        <w:t xml:space="preserve"> </w:t>
      </w:r>
      <w:r w:rsidRPr="00431B48">
        <w:t>interests.</w:t>
      </w:r>
    </w:p>
    <w:p w14:paraId="713F34B0" w14:textId="77777777" w:rsidR="000D23EB" w:rsidRPr="00431B48" w:rsidRDefault="000D23EB">
      <w:pPr>
        <w:pStyle w:val="BodyText"/>
        <w:rPr>
          <w:sz w:val="26"/>
        </w:rPr>
      </w:pPr>
    </w:p>
    <w:p w14:paraId="20D53CA6" w14:textId="77777777" w:rsidR="000D23EB" w:rsidRPr="00431B48" w:rsidRDefault="000D23EB">
      <w:pPr>
        <w:pStyle w:val="BodyText"/>
        <w:rPr>
          <w:sz w:val="26"/>
        </w:rPr>
      </w:pPr>
    </w:p>
    <w:p w14:paraId="2F8477C2" w14:textId="77777777" w:rsidR="000D23EB" w:rsidRPr="00431B48" w:rsidRDefault="000D23EB">
      <w:pPr>
        <w:pStyle w:val="BodyText"/>
        <w:spacing w:before="5"/>
        <w:rPr>
          <w:sz w:val="31"/>
        </w:rPr>
      </w:pPr>
    </w:p>
    <w:p w14:paraId="07F323F3" w14:textId="77777777" w:rsidR="000D23EB" w:rsidRPr="00431B48" w:rsidRDefault="000122D8">
      <w:pPr>
        <w:pStyle w:val="BodyText"/>
        <w:spacing w:line="278" w:lineRule="auto"/>
        <w:ind w:left="100" w:right="428"/>
      </w:pPr>
      <w:r w:rsidRPr="00431B48">
        <w:t xml:space="preserve">New legislation for Wales that is separate to the care Act for England and addresses the well-being of children, adults, and </w:t>
      </w:r>
      <w:proofErr w:type="spellStart"/>
      <w:r w:rsidRPr="00431B48">
        <w:t>carers</w:t>
      </w:r>
      <w:proofErr w:type="spellEnd"/>
    </w:p>
    <w:sectPr w:rsidR="000D23EB" w:rsidRPr="00431B48">
      <w:type w:val="continuous"/>
      <w:pgSz w:w="11900" w:h="16840"/>
      <w:pgMar w:top="1180" w:right="1100" w:bottom="1400" w:left="1100" w:header="720" w:footer="720" w:gutter="0"/>
      <w:cols w:num="2" w:space="720" w:equalWidth="0">
        <w:col w:w="1621" w:space="979"/>
        <w:col w:w="7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E847" w14:textId="77777777" w:rsidR="00A312BE" w:rsidRDefault="000122D8">
      <w:r>
        <w:separator/>
      </w:r>
    </w:p>
  </w:endnote>
  <w:endnote w:type="continuationSeparator" w:id="0">
    <w:p w14:paraId="373DDB5B" w14:textId="77777777" w:rsidR="00A312BE" w:rsidRDefault="0001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81C9" w14:textId="77777777" w:rsidR="000D23EB" w:rsidRDefault="0061760B">
    <w:pPr>
      <w:pStyle w:val="BodyText"/>
      <w:spacing w:line="14" w:lineRule="auto"/>
      <w:rPr>
        <w:sz w:val="20"/>
      </w:rPr>
    </w:pPr>
    <w:r>
      <w:pict w14:anchorId="2711D76D">
        <v:line id="_x0000_s1025" style="position:absolute;z-index:-252385280;mso-position-horizontal-relative:page;mso-position-vertical-relative:page" from="59.75pt,772pt" to="534.75pt,772pt"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9B65" w14:textId="77777777" w:rsidR="00A312BE" w:rsidRDefault="000122D8">
      <w:r>
        <w:separator/>
      </w:r>
    </w:p>
  </w:footnote>
  <w:footnote w:type="continuationSeparator" w:id="0">
    <w:p w14:paraId="73032338" w14:textId="77777777" w:rsidR="00A312BE" w:rsidRDefault="0001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6006" w14:textId="77777777" w:rsidR="000D23EB" w:rsidRDefault="0061760B">
    <w:pPr>
      <w:pStyle w:val="BodyText"/>
      <w:spacing w:line="14" w:lineRule="auto"/>
      <w:rPr>
        <w:sz w:val="20"/>
      </w:rPr>
    </w:pPr>
    <w:r>
      <w:pict w14:anchorId="2A1FF54A">
        <v:line id="_x0000_s1026" style="position:absolute;z-index:-252386304;mso-position-horizontal-relative:page;mso-position-vertical-relative:page" from="43.5pt,57pt" to="552.75pt,57pt" strokeweight="2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5577"/>
    <w:multiLevelType w:val="hybridMultilevel"/>
    <w:tmpl w:val="F1AE39A8"/>
    <w:lvl w:ilvl="0" w:tplc="460C894C">
      <w:numFmt w:val="bullet"/>
      <w:lvlText w:val="•"/>
      <w:lvlJc w:val="left"/>
      <w:pPr>
        <w:ind w:left="2700" w:hanging="151"/>
      </w:pPr>
      <w:rPr>
        <w:rFonts w:ascii="Arial" w:eastAsia="Arial" w:hAnsi="Arial" w:cs="Arial" w:hint="default"/>
        <w:spacing w:val="-3"/>
        <w:w w:val="100"/>
        <w:sz w:val="24"/>
        <w:szCs w:val="24"/>
      </w:rPr>
    </w:lvl>
    <w:lvl w:ilvl="1" w:tplc="C88C1F60">
      <w:numFmt w:val="bullet"/>
      <w:lvlText w:val="•"/>
      <w:lvlJc w:val="left"/>
      <w:pPr>
        <w:ind w:left="3400" w:hanging="151"/>
      </w:pPr>
      <w:rPr>
        <w:rFonts w:hint="default"/>
      </w:rPr>
    </w:lvl>
    <w:lvl w:ilvl="2" w:tplc="133C35AC">
      <w:numFmt w:val="bullet"/>
      <w:lvlText w:val="•"/>
      <w:lvlJc w:val="left"/>
      <w:pPr>
        <w:ind w:left="4100" w:hanging="151"/>
      </w:pPr>
      <w:rPr>
        <w:rFonts w:hint="default"/>
      </w:rPr>
    </w:lvl>
    <w:lvl w:ilvl="3" w:tplc="6772F4AA">
      <w:numFmt w:val="bullet"/>
      <w:lvlText w:val="•"/>
      <w:lvlJc w:val="left"/>
      <w:pPr>
        <w:ind w:left="4800" w:hanging="151"/>
      </w:pPr>
      <w:rPr>
        <w:rFonts w:hint="default"/>
      </w:rPr>
    </w:lvl>
    <w:lvl w:ilvl="4" w:tplc="CD34EA68">
      <w:numFmt w:val="bullet"/>
      <w:lvlText w:val="•"/>
      <w:lvlJc w:val="left"/>
      <w:pPr>
        <w:ind w:left="5500" w:hanging="151"/>
      </w:pPr>
      <w:rPr>
        <w:rFonts w:hint="default"/>
      </w:rPr>
    </w:lvl>
    <w:lvl w:ilvl="5" w:tplc="14DA3252">
      <w:numFmt w:val="bullet"/>
      <w:lvlText w:val="•"/>
      <w:lvlJc w:val="left"/>
      <w:pPr>
        <w:ind w:left="6200" w:hanging="151"/>
      </w:pPr>
      <w:rPr>
        <w:rFonts w:hint="default"/>
      </w:rPr>
    </w:lvl>
    <w:lvl w:ilvl="6" w:tplc="D08C34BA">
      <w:numFmt w:val="bullet"/>
      <w:lvlText w:val="•"/>
      <w:lvlJc w:val="left"/>
      <w:pPr>
        <w:ind w:left="6900" w:hanging="151"/>
      </w:pPr>
      <w:rPr>
        <w:rFonts w:hint="default"/>
      </w:rPr>
    </w:lvl>
    <w:lvl w:ilvl="7" w:tplc="1908BFE2">
      <w:numFmt w:val="bullet"/>
      <w:lvlText w:val="•"/>
      <w:lvlJc w:val="left"/>
      <w:pPr>
        <w:ind w:left="7600" w:hanging="151"/>
      </w:pPr>
      <w:rPr>
        <w:rFonts w:hint="default"/>
      </w:rPr>
    </w:lvl>
    <w:lvl w:ilvl="8" w:tplc="DF960D84">
      <w:numFmt w:val="bullet"/>
      <w:lvlText w:val="•"/>
      <w:lvlJc w:val="left"/>
      <w:pPr>
        <w:ind w:left="8300" w:hanging="151"/>
      </w:pPr>
      <w:rPr>
        <w:rFonts w:hint="default"/>
      </w:rPr>
    </w:lvl>
  </w:abstractNum>
  <w:abstractNum w:abstractNumId="1" w15:restartNumberingAfterBreak="0">
    <w:nsid w:val="6FCA6766"/>
    <w:multiLevelType w:val="hybridMultilevel"/>
    <w:tmpl w:val="FED02FC8"/>
    <w:lvl w:ilvl="0" w:tplc="5E0A422A">
      <w:numFmt w:val="bullet"/>
      <w:lvlText w:val="•"/>
      <w:lvlJc w:val="left"/>
      <w:pPr>
        <w:ind w:left="100" w:hanging="151"/>
      </w:pPr>
      <w:rPr>
        <w:rFonts w:hint="default"/>
        <w:spacing w:val="-6"/>
        <w:w w:val="100"/>
      </w:rPr>
    </w:lvl>
    <w:lvl w:ilvl="1" w:tplc="B17C6488">
      <w:numFmt w:val="bullet"/>
      <w:lvlText w:val="•"/>
      <w:lvlJc w:val="left"/>
      <w:pPr>
        <w:ind w:left="2700" w:hanging="151"/>
      </w:pPr>
      <w:rPr>
        <w:rFonts w:ascii="Arial" w:eastAsia="Arial" w:hAnsi="Arial" w:cs="Arial" w:hint="default"/>
        <w:spacing w:val="-14"/>
        <w:w w:val="100"/>
        <w:sz w:val="24"/>
        <w:szCs w:val="24"/>
      </w:rPr>
    </w:lvl>
    <w:lvl w:ilvl="2" w:tplc="0DF4B21E">
      <w:numFmt w:val="bullet"/>
      <w:lvlText w:val="•"/>
      <w:lvlJc w:val="left"/>
      <w:pPr>
        <w:ind w:left="3188" w:hanging="151"/>
      </w:pPr>
      <w:rPr>
        <w:rFonts w:hint="default"/>
      </w:rPr>
    </w:lvl>
    <w:lvl w:ilvl="3" w:tplc="D72667F4">
      <w:numFmt w:val="bullet"/>
      <w:lvlText w:val="•"/>
      <w:lvlJc w:val="left"/>
      <w:pPr>
        <w:ind w:left="3677" w:hanging="151"/>
      </w:pPr>
      <w:rPr>
        <w:rFonts w:hint="default"/>
      </w:rPr>
    </w:lvl>
    <w:lvl w:ilvl="4" w:tplc="7F0C8376">
      <w:numFmt w:val="bullet"/>
      <w:lvlText w:val="•"/>
      <w:lvlJc w:val="left"/>
      <w:pPr>
        <w:ind w:left="4166" w:hanging="151"/>
      </w:pPr>
      <w:rPr>
        <w:rFonts w:hint="default"/>
      </w:rPr>
    </w:lvl>
    <w:lvl w:ilvl="5" w:tplc="DDBE60AA">
      <w:numFmt w:val="bullet"/>
      <w:lvlText w:val="•"/>
      <w:lvlJc w:val="left"/>
      <w:pPr>
        <w:ind w:left="4655" w:hanging="151"/>
      </w:pPr>
      <w:rPr>
        <w:rFonts w:hint="default"/>
      </w:rPr>
    </w:lvl>
    <w:lvl w:ilvl="6" w:tplc="C402F200">
      <w:numFmt w:val="bullet"/>
      <w:lvlText w:val="•"/>
      <w:lvlJc w:val="left"/>
      <w:pPr>
        <w:ind w:left="5144" w:hanging="151"/>
      </w:pPr>
      <w:rPr>
        <w:rFonts w:hint="default"/>
      </w:rPr>
    </w:lvl>
    <w:lvl w:ilvl="7" w:tplc="80FCE2BC">
      <w:numFmt w:val="bullet"/>
      <w:lvlText w:val="•"/>
      <w:lvlJc w:val="left"/>
      <w:pPr>
        <w:ind w:left="5633" w:hanging="151"/>
      </w:pPr>
      <w:rPr>
        <w:rFonts w:hint="default"/>
      </w:rPr>
    </w:lvl>
    <w:lvl w:ilvl="8" w:tplc="C3D66356">
      <w:numFmt w:val="bullet"/>
      <w:lvlText w:val="•"/>
      <w:lvlJc w:val="left"/>
      <w:pPr>
        <w:ind w:left="6122" w:hanging="1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D23EB"/>
    <w:rsid w:val="000122D8"/>
    <w:rsid w:val="000D23EB"/>
    <w:rsid w:val="00431B48"/>
    <w:rsid w:val="0061760B"/>
    <w:rsid w:val="00A312BE"/>
    <w:rsid w:val="00A8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5DCBC82"/>
  <w15:docId w15:val="{8BDB1376-499E-4646-80CF-4B9A9E76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B48"/>
    <w:pPr>
      <w:tabs>
        <w:tab w:val="center" w:pos="4513"/>
        <w:tab w:val="right" w:pos="9026"/>
      </w:tabs>
    </w:pPr>
  </w:style>
  <w:style w:type="character" w:customStyle="1" w:styleId="HeaderChar">
    <w:name w:val="Header Char"/>
    <w:basedOn w:val="DefaultParagraphFont"/>
    <w:link w:val="Header"/>
    <w:uiPriority w:val="99"/>
    <w:rsid w:val="00431B48"/>
    <w:rPr>
      <w:rFonts w:ascii="Arial" w:eastAsia="Arial" w:hAnsi="Arial" w:cs="Arial"/>
    </w:rPr>
  </w:style>
  <w:style w:type="paragraph" w:styleId="Footer">
    <w:name w:val="footer"/>
    <w:basedOn w:val="Normal"/>
    <w:link w:val="FooterChar"/>
    <w:uiPriority w:val="99"/>
    <w:unhideWhenUsed/>
    <w:rsid w:val="00431B48"/>
    <w:pPr>
      <w:tabs>
        <w:tab w:val="center" w:pos="4513"/>
        <w:tab w:val="right" w:pos="9026"/>
      </w:tabs>
    </w:pPr>
  </w:style>
  <w:style w:type="character" w:customStyle="1" w:styleId="FooterChar">
    <w:name w:val="Footer Char"/>
    <w:basedOn w:val="DefaultParagraphFont"/>
    <w:link w:val="Footer"/>
    <w:uiPriority w:val="99"/>
    <w:rsid w:val="00431B48"/>
    <w:rPr>
      <w:rFonts w:ascii="Arial" w:eastAsia="Arial" w:hAnsi="Arial" w:cs="Arial"/>
    </w:rPr>
  </w:style>
  <w:style w:type="character" w:styleId="Hyperlink">
    <w:name w:val="Hyperlink"/>
    <w:basedOn w:val="DefaultParagraphFont"/>
    <w:uiPriority w:val="99"/>
    <w:unhideWhenUsed/>
    <w:rsid w:val="000122D8"/>
    <w:rPr>
      <w:color w:val="0000FF" w:themeColor="hyperlink"/>
      <w:u w:val="single"/>
    </w:rPr>
  </w:style>
  <w:style w:type="character" w:styleId="UnresolvedMention">
    <w:name w:val="Unresolved Mention"/>
    <w:basedOn w:val="DefaultParagraphFont"/>
    <w:uiPriority w:val="99"/>
    <w:semiHidden/>
    <w:unhideWhenUsed/>
    <w:rsid w:val="0001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cardiff.ac.uk/isf/" TargetMode="External"/><Relationship Id="rId5" Type="http://schemas.openxmlformats.org/officeDocument/2006/relationships/footnotes" Target="footnotes.xml"/><Relationship Id="rId10" Type="http://schemas.openxmlformats.org/officeDocument/2006/relationships/hyperlink" Target="https://intranet.cardiff.ac.uk/staff/services/data-protection" TargetMode="External"/><Relationship Id="rId4" Type="http://schemas.openxmlformats.org/officeDocument/2006/relationships/webSettings" Target="webSettings.xml"/><Relationship Id="rId9" Type="http://schemas.openxmlformats.org/officeDocument/2006/relationships/hyperlink" Target="http://www.gov.uk/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 John</cp:lastModifiedBy>
  <cp:revision>3</cp:revision>
  <dcterms:created xsi:type="dcterms:W3CDTF">2020-02-21T09:57:00Z</dcterms:created>
  <dcterms:modified xsi:type="dcterms:W3CDTF">2020-03-05T13:12:00Z</dcterms:modified>
</cp:coreProperties>
</file>