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C5" w:rsidRDefault="0080252B" w:rsidP="004A1E0B">
      <w:pPr>
        <w:spacing w:after="0" w:line="360" w:lineRule="auto"/>
        <w:rPr>
          <w:b/>
        </w:rPr>
      </w:pPr>
      <w:bookmarkStart w:id="0" w:name="_GoBack"/>
      <w:bookmarkEnd w:id="0"/>
      <w:r>
        <w:rPr>
          <w:b/>
        </w:rPr>
        <w:t>Right</w:t>
      </w:r>
      <w:r w:rsidR="00BE29A9" w:rsidRPr="00BE29A9">
        <w:rPr>
          <w:b/>
        </w:rPr>
        <w:t xml:space="preserve"> to the City</w:t>
      </w:r>
      <w:r w:rsidR="00047D7E">
        <w:rPr>
          <w:b/>
        </w:rPr>
        <w:t xml:space="preserve"> and Contemporary Public Policy</w:t>
      </w:r>
      <w:r w:rsidR="007D5BE2">
        <w:rPr>
          <w:b/>
        </w:rPr>
        <w:t xml:space="preserve"> - Some Preliminary Reflections on the UK Context</w:t>
      </w:r>
    </w:p>
    <w:p w:rsidR="0050771A" w:rsidRDefault="0050771A" w:rsidP="004A1E0B">
      <w:pPr>
        <w:spacing w:after="0" w:line="360" w:lineRule="auto"/>
        <w:rPr>
          <w:b/>
        </w:rPr>
      </w:pPr>
    </w:p>
    <w:p w:rsidR="00F03C30" w:rsidRDefault="0050771A" w:rsidP="004A1E0B">
      <w:pPr>
        <w:spacing w:after="0" w:line="360" w:lineRule="auto"/>
        <w:rPr>
          <w:b/>
        </w:rPr>
      </w:pPr>
      <w:r>
        <w:rPr>
          <w:b/>
        </w:rPr>
        <w:t>David Waite, June</w:t>
      </w:r>
      <w:r w:rsidR="00F03C30">
        <w:rPr>
          <w:b/>
        </w:rPr>
        <w:t xml:space="preserve"> 2015</w:t>
      </w:r>
    </w:p>
    <w:p w:rsidR="00047D7E" w:rsidRPr="00AA5DA1" w:rsidRDefault="00047D7E" w:rsidP="004A1E0B">
      <w:pPr>
        <w:spacing w:after="0" w:line="360" w:lineRule="auto"/>
      </w:pPr>
    </w:p>
    <w:p w:rsidR="00E52584" w:rsidRPr="00AA5DA1" w:rsidRDefault="006C63E5" w:rsidP="004A1E0B">
      <w:pPr>
        <w:spacing w:after="0" w:line="360" w:lineRule="auto"/>
        <w:rPr>
          <w:lang w:val="en-NZ"/>
        </w:rPr>
      </w:pPr>
      <w:r w:rsidRPr="00AA5DA1">
        <w:rPr>
          <w:lang w:val="en-NZ"/>
        </w:rPr>
        <w:t>U</w:t>
      </w:r>
      <w:r w:rsidR="00ED70FC" w:rsidRPr="00AA5DA1">
        <w:rPr>
          <w:lang w:val="en-NZ"/>
        </w:rPr>
        <w:t>r</w:t>
      </w:r>
      <w:r w:rsidR="00D1126A" w:rsidRPr="00AA5DA1">
        <w:rPr>
          <w:lang w:val="en-NZ"/>
        </w:rPr>
        <w:t>ban development strategies take</w:t>
      </w:r>
      <w:r w:rsidR="00BE29A9" w:rsidRPr="00AA5DA1">
        <w:rPr>
          <w:lang w:val="en-NZ"/>
        </w:rPr>
        <w:t xml:space="preserve"> </w:t>
      </w:r>
      <w:r w:rsidR="00ED70FC" w:rsidRPr="00AA5DA1">
        <w:rPr>
          <w:lang w:val="en-NZ"/>
        </w:rPr>
        <w:t xml:space="preserve">a familiar, </w:t>
      </w:r>
      <w:r w:rsidR="00D93D32" w:rsidRPr="00AA5DA1">
        <w:rPr>
          <w:lang w:val="en-NZ"/>
        </w:rPr>
        <w:t>“</w:t>
      </w:r>
      <w:r w:rsidR="00ED70FC" w:rsidRPr="00AA5DA1">
        <w:rPr>
          <w:lang w:val="en-NZ"/>
        </w:rPr>
        <w:t>identikit</w:t>
      </w:r>
      <w:r w:rsidR="00D93D32" w:rsidRPr="00AA5DA1">
        <w:rPr>
          <w:lang w:val="en-NZ"/>
        </w:rPr>
        <w:t>”</w:t>
      </w:r>
      <w:r w:rsidR="00ED70FC" w:rsidRPr="00AA5DA1">
        <w:rPr>
          <w:lang w:val="en-NZ"/>
        </w:rPr>
        <w:t xml:space="preserve"> form</w:t>
      </w:r>
      <w:r w:rsidR="00225826" w:rsidRPr="00AA5DA1">
        <w:rPr>
          <w:lang w:val="en-NZ"/>
        </w:rPr>
        <w:t xml:space="preserve"> (Bristow, 2010)</w:t>
      </w:r>
      <w:r w:rsidR="00ED70FC" w:rsidRPr="00AA5DA1">
        <w:rPr>
          <w:lang w:val="en-NZ"/>
        </w:rPr>
        <w:t>.</w:t>
      </w:r>
      <w:r w:rsidR="007D5BE2" w:rsidRPr="00AA5DA1">
        <w:rPr>
          <w:lang w:val="en-NZ"/>
        </w:rPr>
        <w:t xml:space="preserve"> Expres</w:t>
      </w:r>
      <w:r w:rsidR="00B73969">
        <w:rPr>
          <w:lang w:val="en-NZ"/>
        </w:rPr>
        <w:t>sing urgencies for skills</w:t>
      </w:r>
      <w:r w:rsidR="00ED70FC" w:rsidRPr="00AA5DA1">
        <w:rPr>
          <w:lang w:val="en-NZ"/>
        </w:rPr>
        <w:t>, innovation and connectivity</w:t>
      </w:r>
      <w:r w:rsidR="00D93D32" w:rsidRPr="00AA5DA1">
        <w:rPr>
          <w:lang w:val="en-NZ"/>
        </w:rPr>
        <w:t xml:space="preserve"> interventions</w:t>
      </w:r>
      <w:r w:rsidR="00ED70FC" w:rsidRPr="00AA5DA1">
        <w:rPr>
          <w:lang w:val="en-NZ"/>
        </w:rPr>
        <w:t>, to name but a few key headings, such documents fail to steer tractable policy development</w:t>
      </w:r>
      <w:r w:rsidR="00D93D32" w:rsidRPr="00AA5DA1">
        <w:rPr>
          <w:lang w:val="en-NZ"/>
        </w:rPr>
        <w:t xml:space="preserve"> in many instances</w:t>
      </w:r>
      <w:r w:rsidRPr="00AA5DA1">
        <w:rPr>
          <w:lang w:val="en-NZ"/>
        </w:rPr>
        <w:t>,</w:t>
      </w:r>
      <w:r w:rsidR="00ED70FC" w:rsidRPr="00AA5DA1">
        <w:rPr>
          <w:lang w:val="en-NZ"/>
        </w:rPr>
        <w:t xml:space="preserve"> and are regularly </w:t>
      </w:r>
      <w:r w:rsidR="0095530E" w:rsidRPr="00AA5DA1">
        <w:rPr>
          <w:lang w:val="en-NZ"/>
        </w:rPr>
        <w:t>revisited, revised and re-reproduced to say much the same thing</w:t>
      </w:r>
      <w:r w:rsidR="00ED70FC" w:rsidRPr="00AA5DA1">
        <w:rPr>
          <w:lang w:val="en-NZ"/>
        </w:rPr>
        <w:t>.</w:t>
      </w:r>
      <w:r w:rsidR="00BE29A9" w:rsidRPr="00AA5DA1">
        <w:rPr>
          <w:lang w:val="en-NZ"/>
        </w:rPr>
        <w:t xml:space="preserve"> </w:t>
      </w:r>
      <w:r w:rsidRPr="00AA5DA1">
        <w:rPr>
          <w:lang w:val="en-NZ"/>
        </w:rPr>
        <w:t xml:space="preserve">That urban development strategies often hinge on consultation with elites - </w:t>
      </w:r>
      <w:r w:rsidR="00ED70FC" w:rsidRPr="00AA5DA1">
        <w:rPr>
          <w:lang w:val="en-NZ"/>
        </w:rPr>
        <w:t xml:space="preserve">through steering </w:t>
      </w:r>
      <w:r w:rsidRPr="00AA5DA1">
        <w:rPr>
          <w:lang w:val="en-NZ"/>
        </w:rPr>
        <w:t>groups, for example – may be one explanation for why such anodyne reiterations continue to emerge</w:t>
      </w:r>
      <w:r w:rsidR="00ED70FC" w:rsidRPr="00AA5DA1">
        <w:rPr>
          <w:lang w:val="en-NZ"/>
        </w:rPr>
        <w:t>. Typically,</w:t>
      </w:r>
      <w:r w:rsidR="005F2833" w:rsidRPr="00AA5DA1">
        <w:rPr>
          <w:lang w:val="en-NZ"/>
        </w:rPr>
        <w:t xml:space="preserve"> though not uniformly, invested</w:t>
      </w:r>
      <w:r w:rsidR="00ED70FC" w:rsidRPr="00AA5DA1">
        <w:rPr>
          <w:lang w:val="en-NZ"/>
        </w:rPr>
        <w:t xml:space="preserve"> in the maintenance of the inherited economic order, it is perhaps </w:t>
      </w:r>
      <w:r w:rsidRPr="00AA5DA1">
        <w:rPr>
          <w:lang w:val="en-NZ"/>
        </w:rPr>
        <w:t>expected</w:t>
      </w:r>
      <w:r w:rsidR="00253794" w:rsidRPr="00AA5DA1">
        <w:rPr>
          <w:lang w:val="en-NZ"/>
        </w:rPr>
        <w:t xml:space="preserve"> that policy </w:t>
      </w:r>
      <w:r w:rsidR="007D5BE2" w:rsidRPr="00AA5DA1">
        <w:rPr>
          <w:lang w:val="en-NZ"/>
        </w:rPr>
        <w:t>programmes</w:t>
      </w:r>
      <w:r w:rsidR="00253794" w:rsidRPr="00AA5DA1">
        <w:rPr>
          <w:lang w:val="en-NZ"/>
        </w:rPr>
        <w:t xml:space="preserve"> </w:t>
      </w:r>
      <w:r w:rsidR="007D5BE2" w:rsidRPr="00AA5DA1">
        <w:rPr>
          <w:lang w:val="en-NZ"/>
        </w:rPr>
        <w:t>lean on branding and</w:t>
      </w:r>
      <w:r w:rsidR="00B003F9" w:rsidRPr="00AA5DA1">
        <w:rPr>
          <w:lang w:val="en-NZ"/>
        </w:rPr>
        <w:t xml:space="preserve"> marketing </w:t>
      </w:r>
      <w:r w:rsidR="007D5BE2" w:rsidRPr="00AA5DA1">
        <w:rPr>
          <w:lang w:val="en-NZ"/>
        </w:rPr>
        <w:t>as core activities</w:t>
      </w:r>
      <w:r w:rsidR="00ED70FC" w:rsidRPr="00AA5DA1">
        <w:rPr>
          <w:lang w:val="en-NZ"/>
        </w:rPr>
        <w:t>.</w:t>
      </w:r>
      <w:r w:rsidR="00BE29A9" w:rsidRPr="00AA5DA1">
        <w:rPr>
          <w:lang w:val="en-NZ"/>
        </w:rPr>
        <w:t xml:space="preserve"> </w:t>
      </w:r>
      <w:r w:rsidR="00E52584" w:rsidRPr="00AA5DA1">
        <w:rPr>
          <w:lang w:val="en-NZ"/>
        </w:rPr>
        <w:t>Releasing our fixation on such</w:t>
      </w:r>
      <w:r w:rsidR="00ED70FC" w:rsidRPr="00AA5DA1">
        <w:rPr>
          <w:lang w:val="en-NZ"/>
        </w:rPr>
        <w:t xml:space="preserve"> </w:t>
      </w:r>
      <w:r w:rsidR="00BE29A9" w:rsidRPr="00AA5DA1">
        <w:rPr>
          <w:lang w:val="en-NZ"/>
        </w:rPr>
        <w:t>orthodox approaches give</w:t>
      </w:r>
      <w:r w:rsidR="00E52584" w:rsidRPr="00AA5DA1">
        <w:rPr>
          <w:lang w:val="en-NZ"/>
        </w:rPr>
        <w:t>s</w:t>
      </w:r>
      <w:r w:rsidR="00BE29A9" w:rsidRPr="00AA5DA1">
        <w:rPr>
          <w:lang w:val="en-NZ"/>
        </w:rPr>
        <w:t xml:space="preserve"> an opening</w:t>
      </w:r>
      <w:r w:rsidR="00E52584" w:rsidRPr="00AA5DA1">
        <w:rPr>
          <w:lang w:val="en-NZ"/>
        </w:rPr>
        <w:t xml:space="preserve"> </w:t>
      </w:r>
      <w:r w:rsidR="00BE29A9" w:rsidRPr="00AA5DA1">
        <w:rPr>
          <w:lang w:val="en-NZ"/>
        </w:rPr>
        <w:t>to consider</w:t>
      </w:r>
      <w:r w:rsidR="00D1126A" w:rsidRPr="00AA5DA1">
        <w:rPr>
          <w:lang w:val="en-NZ"/>
        </w:rPr>
        <w:t xml:space="preserve"> alternative and opposing approaches. Indeed,</w:t>
      </w:r>
      <w:r w:rsidR="00040EEE" w:rsidRPr="00AA5DA1">
        <w:rPr>
          <w:lang w:val="en-NZ"/>
        </w:rPr>
        <w:t xml:space="preserve"> </w:t>
      </w:r>
      <w:r w:rsidR="00736140" w:rsidRPr="00AA5DA1">
        <w:rPr>
          <w:lang w:val="en-NZ"/>
        </w:rPr>
        <w:t>what form and content c</w:t>
      </w:r>
      <w:r w:rsidR="00ED70FC" w:rsidRPr="00AA5DA1">
        <w:rPr>
          <w:lang w:val="en-NZ"/>
        </w:rPr>
        <w:t xml:space="preserve">ould emerge from an </w:t>
      </w:r>
      <w:r w:rsidR="00BE29A9" w:rsidRPr="00AA5DA1">
        <w:rPr>
          <w:lang w:val="en-NZ"/>
        </w:rPr>
        <w:t xml:space="preserve">urban development </w:t>
      </w:r>
      <w:r w:rsidR="000B3CAC" w:rsidRPr="00AA5DA1">
        <w:rPr>
          <w:lang w:val="en-NZ"/>
        </w:rPr>
        <w:t>strategy that adopts, or gives substantial reference to,</w:t>
      </w:r>
      <w:r w:rsidR="0080252B" w:rsidRPr="00AA5DA1">
        <w:rPr>
          <w:lang w:val="en-NZ"/>
        </w:rPr>
        <w:t xml:space="preserve"> a “right</w:t>
      </w:r>
      <w:r w:rsidR="00BE29A9" w:rsidRPr="00AA5DA1">
        <w:rPr>
          <w:lang w:val="en-NZ"/>
        </w:rPr>
        <w:t xml:space="preserve"> to the city” </w:t>
      </w:r>
      <w:r w:rsidR="000B3CAC" w:rsidRPr="00AA5DA1">
        <w:rPr>
          <w:lang w:val="en-NZ"/>
        </w:rPr>
        <w:t>ethic</w:t>
      </w:r>
      <w:r w:rsidR="00E52584" w:rsidRPr="00AA5DA1">
        <w:rPr>
          <w:lang w:val="en-NZ"/>
        </w:rPr>
        <w:t>?</w:t>
      </w:r>
      <w:r w:rsidR="00BE29A9" w:rsidRPr="00AA5DA1">
        <w:rPr>
          <w:lang w:val="en-NZ"/>
        </w:rPr>
        <w:t xml:space="preserve"> </w:t>
      </w:r>
    </w:p>
    <w:p w:rsidR="004A1E0B" w:rsidRPr="00AA5DA1" w:rsidRDefault="004A1E0B" w:rsidP="004A1E0B">
      <w:pPr>
        <w:spacing w:after="0" w:line="360" w:lineRule="auto"/>
        <w:rPr>
          <w:lang w:val="en-NZ"/>
        </w:rPr>
      </w:pPr>
    </w:p>
    <w:p w:rsidR="00ED70FC" w:rsidRPr="00AA5DA1" w:rsidRDefault="00ED70FC" w:rsidP="004A1E0B">
      <w:pPr>
        <w:spacing w:after="0" w:line="360" w:lineRule="auto"/>
        <w:rPr>
          <w:lang w:val="en-NZ"/>
        </w:rPr>
      </w:pPr>
      <w:r w:rsidRPr="00AA5DA1">
        <w:rPr>
          <w:lang w:val="en-NZ"/>
        </w:rPr>
        <w:t xml:space="preserve">Henri Lefebvre’s right to the city must be considered for the </w:t>
      </w:r>
      <w:r w:rsidR="00BE29A9" w:rsidRPr="00AA5DA1">
        <w:rPr>
          <w:lang w:val="en-NZ"/>
        </w:rPr>
        <w:t xml:space="preserve">prevailing politics of the time, or more particularly, the intellectual production associated with the </w:t>
      </w:r>
      <w:r w:rsidR="00D93D32" w:rsidRPr="00AA5DA1">
        <w:rPr>
          <w:lang w:val="en-NZ"/>
        </w:rPr>
        <w:t>social shifts</w:t>
      </w:r>
      <w:r w:rsidR="00BE29A9" w:rsidRPr="00AA5DA1">
        <w:rPr>
          <w:lang w:val="en-NZ"/>
        </w:rPr>
        <w:t xml:space="preserve"> of </w:t>
      </w:r>
      <w:r w:rsidR="00D126ED" w:rsidRPr="00AA5DA1">
        <w:rPr>
          <w:lang w:val="en-NZ"/>
        </w:rPr>
        <w:t>the late 1960s</w:t>
      </w:r>
      <w:r w:rsidR="00BE29A9" w:rsidRPr="00AA5DA1">
        <w:rPr>
          <w:lang w:val="en-NZ"/>
        </w:rPr>
        <w:t>.</w:t>
      </w:r>
      <w:r w:rsidRPr="00AA5DA1">
        <w:rPr>
          <w:lang w:val="en-NZ"/>
        </w:rPr>
        <w:t xml:space="preserve"> This was a politics, inescapabl</w:t>
      </w:r>
      <w:r w:rsidR="0095530E" w:rsidRPr="00AA5DA1">
        <w:rPr>
          <w:lang w:val="en-NZ"/>
        </w:rPr>
        <w:t>y, of resistance and an attempt</w:t>
      </w:r>
      <w:r w:rsidRPr="00AA5DA1">
        <w:rPr>
          <w:lang w:val="en-NZ"/>
        </w:rPr>
        <w:t xml:space="preserve"> to usher in a new distributive political economy</w:t>
      </w:r>
      <w:r w:rsidR="006C02B6" w:rsidRPr="00AA5DA1">
        <w:rPr>
          <w:lang w:val="en-NZ"/>
        </w:rPr>
        <w:t xml:space="preserve"> (Marcuse, 2009)</w:t>
      </w:r>
      <w:r w:rsidR="002D712E" w:rsidRPr="00AA5DA1">
        <w:rPr>
          <w:lang w:val="en-NZ"/>
        </w:rPr>
        <w:t xml:space="preserve">. At the heart of </w:t>
      </w:r>
      <w:r w:rsidR="0080252B" w:rsidRPr="00AA5DA1">
        <w:rPr>
          <w:lang w:val="en-NZ"/>
        </w:rPr>
        <w:t>right</w:t>
      </w:r>
      <w:r w:rsidRPr="00AA5DA1">
        <w:rPr>
          <w:lang w:val="en-NZ"/>
        </w:rPr>
        <w:t xml:space="preserve"> to t</w:t>
      </w:r>
      <w:r w:rsidR="002D712E" w:rsidRPr="00AA5DA1">
        <w:rPr>
          <w:lang w:val="en-NZ"/>
        </w:rPr>
        <w:t>he city</w:t>
      </w:r>
      <w:r w:rsidR="006C02B6" w:rsidRPr="00AA5DA1">
        <w:rPr>
          <w:lang w:val="en-NZ"/>
        </w:rPr>
        <w:t xml:space="preserve"> is that denizens </w:t>
      </w:r>
      <w:r w:rsidR="00D126ED" w:rsidRPr="00AA5DA1">
        <w:rPr>
          <w:lang w:val="en-NZ"/>
        </w:rPr>
        <w:t xml:space="preserve">should </w:t>
      </w:r>
      <w:r w:rsidR="006C02B6" w:rsidRPr="00AA5DA1">
        <w:rPr>
          <w:lang w:val="en-NZ"/>
        </w:rPr>
        <w:t>have power</w:t>
      </w:r>
      <w:r w:rsidR="0095530E" w:rsidRPr="00AA5DA1">
        <w:rPr>
          <w:lang w:val="en-NZ"/>
        </w:rPr>
        <w:t xml:space="preserve"> to use and inhabit urban spaces</w:t>
      </w:r>
      <w:r w:rsidR="009148A9" w:rsidRPr="00AA5DA1">
        <w:rPr>
          <w:lang w:val="en-NZ"/>
        </w:rPr>
        <w:t>,</w:t>
      </w:r>
      <w:r w:rsidRPr="00AA5DA1">
        <w:rPr>
          <w:lang w:val="en-NZ"/>
        </w:rPr>
        <w:t xml:space="preserve"> and </w:t>
      </w:r>
      <w:r w:rsidR="00BE29A9" w:rsidRPr="00AA5DA1">
        <w:rPr>
          <w:lang w:val="en-NZ"/>
        </w:rPr>
        <w:t xml:space="preserve">market or exchange logics </w:t>
      </w:r>
      <w:r w:rsidR="0062002D" w:rsidRPr="00AA5DA1">
        <w:rPr>
          <w:lang w:val="en-NZ"/>
        </w:rPr>
        <w:t xml:space="preserve">that tend to </w:t>
      </w:r>
      <w:r w:rsidR="008428FB" w:rsidRPr="00AA5DA1">
        <w:rPr>
          <w:lang w:val="en-NZ"/>
        </w:rPr>
        <w:t>dominate urban administration</w:t>
      </w:r>
      <w:r w:rsidR="0062002D" w:rsidRPr="00AA5DA1">
        <w:rPr>
          <w:lang w:val="en-NZ"/>
        </w:rPr>
        <w:t xml:space="preserve"> should not frustrate citizen use</w:t>
      </w:r>
      <w:r w:rsidR="0080252B" w:rsidRPr="00AA5DA1">
        <w:rPr>
          <w:lang w:val="en-NZ"/>
        </w:rPr>
        <w:t>. In this respect, right</w:t>
      </w:r>
      <w:r w:rsidRPr="00AA5DA1">
        <w:rPr>
          <w:lang w:val="en-NZ"/>
        </w:rPr>
        <w:t xml:space="preserve"> to the city </w:t>
      </w:r>
      <w:r w:rsidR="009148A9" w:rsidRPr="00AA5DA1">
        <w:rPr>
          <w:lang w:val="en-NZ"/>
        </w:rPr>
        <w:t>clearly stems from the</w:t>
      </w:r>
      <w:r w:rsidR="00BE29A9" w:rsidRPr="00AA5DA1">
        <w:rPr>
          <w:lang w:val="en-NZ"/>
        </w:rPr>
        <w:t xml:space="preserve"> author’s Marxist commitments</w:t>
      </w:r>
      <w:r w:rsidRPr="00AA5DA1">
        <w:rPr>
          <w:lang w:val="en-NZ"/>
        </w:rPr>
        <w:t xml:space="preserve">. </w:t>
      </w:r>
      <w:r w:rsidR="00F917F8" w:rsidRPr="00AA5DA1">
        <w:rPr>
          <w:lang w:val="en-NZ"/>
        </w:rPr>
        <w:t xml:space="preserve">Over the last decade and a half, </w:t>
      </w:r>
      <w:r w:rsidR="006C63E5" w:rsidRPr="00AA5DA1">
        <w:rPr>
          <w:lang w:val="en-NZ"/>
        </w:rPr>
        <w:t xml:space="preserve">a resurgent interest in Lefebvre’s </w:t>
      </w:r>
      <w:r w:rsidR="00D1126A" w:rsidRPr="00AA5DA1">
        <w:rPr>
          <w:lang w:val="en-NZ"/>
        </w:rPr>
        <w:t>urban politics</w:t>
      </w:r>
      <w:r w:rsidR="006C63E5" w:rsidRPr="00AA5DA1">
        <w:rPr>
          <w:lang w:val="en-NZ"/>
        </w:rPr>
        <w:t xml:space="preserve"> can be observed</w:t>
      </w:r>
      <w:r w:rsidR="00D126ED" w:rsidRPr="00AA5DA1">
        <w:rPr>
          <w:lang w:val="en-NZ"/>
        </w:rPr>
        <w:t xml:space="preserve"> (see, for example, Purcell, 2002; Aalbers and Gibb, 2014; Purcell, 2014)</w:t>
      </w:r>
      <w:r w:rsidR="00F917F8" w:rsidRPr="00AA5DA1">
        <w:rPr>
          <w:lang w:val="en-NZ"/>
        </w:rPr>
        <w:t xml:space="preserve">. Despite this, much remains </w:t>
      </w:r>
      <w:r w:rsidR="00253794" w:rsidRPr="00AA5DA1">
        <w:rPr>
          <w:lang w:val="en-NZ"/>
        </w:rPr>
        <w:t>unclear, given the capacious nature</w:t>
      </w:r>
      <w:r w:rsidR="00F917F8" w:rsidRPr="00AA5DA1">
        <w:rPr>
          <w:lang w:val="en-NZ"/>
        </w:rPr>
        <w:t xml:space="preserve"> of the term </w:t>
      </w:r>
      <w:r w:rsidR="0080252B" w:rsidRPr="00AA5DA1">
        <w:rPr>
          <w:lang w:val="en-NZ"/>
        </w:rPr>
        <w:t>and ambiguity about what “right</w:t>
      </w:r>
      <w:r w:rsidR="00F917F8" w:rsidRPr="00AA5DA1">
        <w:rPr>
          <w:lang w:val="en-NZ"/>
        </w:rPr>
        <w:t>” one is talking about or giving precedence to</w:t>
      </w:r>
      <w:r w:rsidR="006C02B6" w:rsidRPr="00AA5DA1">
        <w:rPr>
          <w:lang w:val="en-NZ"/>
        </w:rPr>
        <w:t xml:space="preserve"> (Attoh, 2011)</w:t>
      </w:r>
      <w:r w:rsidR="00F917F8" w:rsidRPr="00AA5DA1">
        <w:rPr>
          <w:lang w:val="en-NZ"/>
        </w:rPr>
        <w:t>.</w:t>
      </w:r>
    </w:p>
    <w:p w:rsidR="004A1E0B" w:rsidRPr="00AA5DA1" w:rsidRDefault="004A1E0B" w:rsidP="004A1E0B">
      <w:pPr>
        <w:spacing w:after="0" w:line="360" w:lineRule="auto"/>
        <w:rPr>
          <w:lang w:val="en-NZ"/>
        </w:rPr>
      </w:pPr>
    </w:p>
    <w:p w:rsidR="00D12141" w:rsidRPr="00AA5DA1" w:rsidRDefault="00F917F8" w:rsidP="004A1E0B">
      <w:pPr>
        <w:spacing w:after="0" w:line="360" w:lineRule="auto"/>
      </w:pPr>
      <w:r w:rsidRPr="00AA5DA1">
        <w:rPr>
          <w:lang w:val="en-NZ"/>
        </w:rPr>
        <w:t xml:space="preserve">Looking at select </w:t>
      </w:r>
      <w:r w:rsidR="007116B4" w:rsidRPr="00AA5DA1">
        <w:rPr>
          <w:lang w:val="en-NZ"/>
        </w:rPr>
        <w:t xml:space="preserve">interventions or </w:t>
      </w:r>
      <w:r w:rsidRPr="00AA5DA1">
        <w:rPr>
          <w:lang w:val="en-NZ"/>
        </w:rPr>
        <w:t>programme</w:t>
      </w:r>
      <w:r w:rsidR="00225826" w:rsidRPr="00AA5DA1">
        <w:rPr>
          <w:lang w:val="en-NZ"/>
        </w:rPr>
        <w:t>s</w:t>
      </w:r>
      <w:r w:rsidR="00D1126A" w:rsidRPr="00AA5DA1">
        <w:rPr>
          <w:lang w:val="en-NZ"/>
        </w:rPr>
        <w:t xml:space="preserve"> gives scope to co</w:t>
      </w:r>
      <w:r w:rsidR="00BE29A9" w:rsidRPr="00AA5DA1">
        <w:rPr>
          <w:lang w:val="en-NZ"/>
        </w:rPr>
        <w:t>nsider</w:t>
      </w:r>
      <w:r w:rsidRPr="00AA5DA1">
        <w:rPr>
          <w:lang w:val="en-NZ"/>
        </w:rPr>
        <w:t xml:space="preserve"> </w:t>
      </w:r>
      <w:r w:rsidR="00245E32" w:rsidRPr="00AA5DA1">
        <w:rPr>
          <w:lang w:val="en-NZ"/>
        </w:rPr>
        <w:t xml:space="preserve">whether </w:t>
      </w:r>
      <w:r w:rsidR="0080252B" w:rsidRPr="00AA5DA1">
        <w:rPr>
          <w:lang w:val="en-NZ"/>
        </w:rPr>
        <w:t>right</w:t>
      </w:r>
      <w:r w:rsidR="00BE29A9" w:rsidRPr="00AA5DA1">
        <w:rPr>
          <w:lang w:val="en-NZ"/>
        </w:rPr>
        <w:t xml:space="preserve"> to the city</w:t>
      </w:r>
      <w:r w:rsidR="00245E32" w:rsidRPr="00AA5DA1">
        <w:rPr>
          <w:lang w:val="en-NZ"/>
        </w:rPr>
        <w:t xml:space="preserve"> gauges</w:t>
      </w:r>
      <w:r w:rsidRPr="00AA5DA1">
        <w:rPr>
          <w:lang w:val="en-NZ"/>
        </w:rPr>
        <w:t xml:space="preserve"> </w:t>
      </w:r>
      <w:r w:rsidR="00047D7E" w:rsidRPr="00AA5DA1">
        <w:rPr>
          <w:lang w:val="en-NZ"/>
        </w:rPr>
        <w:t xml:space="preserve">with existing policy practice. </w:t>
      </w:r>
      <w:r w:rsidR="005E7CED" w:rsidRPr="00AA5DA1">
        <w:rPr>
          <w:lang w:val="en-NZ"/>
        </w:rPr>
        <w:t xml:space="preserve">For example, </w:t>
      </w:r>
      <w:r w:rsidR="00BE29A9" w:rsidRPr="00AA5DA1">
        <w:rPr>
          <w:lang w:val="en-NZ"/>
        </w:rPr>
        <w:t>“</w:t>
      </w:r>
      <w:r w:rsidR="008A26C5" w:rsidRPr="00AA5DA1">
        <w:t>Made in Lambeth</w:t>
      </w:r>
      <w:r w:rsidR="00BE29A9" w:rsidRPr="00AA5DA1">
        <w:t>”</w:t>
      </w:r>
      <w:r w:rsidR="005E7CED" w:rsidRPr="00AA5DA1">
        <w:t xml:space="preserve"> </w:t>
      </w:r>
      <w:r w:rsidR="009565D2" w:rsidRPr="00AA5DA1">
        <w:t>– which</w:t>
      </w:r>
      <w:r w:rsidR="008A26C5" w:rsidRPr="00AA5DA1">
        <w:t xml:space="preserve"> is an initiative that</w:t>
      </w:r>
      <w:r w:rsidR="00F51657" w:rsidRPr="00AA5DA1">
        <w:t xml:space="preserve"> </w:t>
      </w:r>
      <w:r w:rsidR="009565D2" w:rsidRPr="00AA5DA1">
        <w:t>challenges</w:t>
      </w:r>
      <w:r w:rsidR="00D12141" w:rsidRPr="00AA5DA1">
        <w:t xml:space="preserve"> “highly skilled” residents to jointly “</w:t>
      </w:r>
      <w:r w:rsidR="009565D2" w:rsidRPr="00AA5DA1">
        <w:t>come up with solutions to local problems” (Marsh, 2013)</w:t>
      </w:r>
      <w:r w:rsidR="005E7CED" w:rsidRPr="00AA5DA1">
        <w:t xml:space="preserve">, </w:t>
      </w:r>
      <w:r w:rsidR="00A11D58" w:rsidRPr="00AA5DA1">
        <w:t>from</w:t>
      </w:r>
      <w:r w:rsidR="005E7CED" w:rsidRPr="00AA5DA1">
        <w:t xml:space="preserve"> </w:t>
      </w:r>
      <w:r w:rsidR="00D12141" w:rsidRPr="00AA5DA1">
        <w:t>managing</w:t>
      </w:r>
      <w:r w:rsidR="005E7CED" w:rsidRPr="00AA5DA1">
        <w:t xml:space="preserve"> food waste to </w:t>
      </w:r>
      <w:r w:rsidR="00D12141" w:rsidRPr="00AA5DA1">
        <w:t>designing</w:t>
      </w:r>
      <w:r w:rsidR="00A11D58" w:rsidRPr="00AA5DA1">
        <w:t xml:space="preserve"> an online sexual health service</w:t>
      </w:r>
      <w:r w:rsidR="009565D2" w:rsidRPr="00AA5DA1">
        <w:t xml:space="preserve"> - </w:t>
      </w:r>
      <w:r w:rsidR="00F51657" w:rsidRPr="00AA5DA1">
        <w:t xml:space="preserve">would appear to </w:t>
      </w:r>
      <w:r w:rsidR="00D12141" w:rsidRPr="00AA5DA1">
        <w:t>chime</w:t>
      </w:r>
      <w:r w:rsidR="002E7F4A" w:rsidRPr="00AA5DA1">
        <w:t xml:space="preserve"> with</w:t>
      </w:r>
      <w:r w:rsidR="005E7CED" w:rsidRPr="00AA5DA1">
        <w:t xml:space="preserve"> some</w:t>
      </w:r>
      <w:r w:rsidR="0080252B" w:rsidRPr="00AA5DA1">
        <w:t xml:space="preserve"> </w:t>
      </w:r>
      <w:r w:rsidR="00D12141" w:rsidRPr="00AA5DA1">
        <w:t xml:space="preserve">aspects of the </w:t>
      </w:r>
      <w:r w:rsidR="0080252B" w:rsidRPr="00AA5DA1">
        <w:t>right</w:t>
      </w:r>
      <w:r w:rsidR="008A26C5" w:rsidRPr="00AA5DA1">
        <w:t xml:space="preserve"> to the city.</w:t>
      </w:r>
      <w:r w:rsidR="00176FAF" w:rsidRPr="00AA5DA1">
        <w:t xml:space="preserve"> </w:t>
      </w:r>
      <w:r w:rsidR="00D12141" w:rsidRPr="00AA5DA1">
        <w:t>S</w:t>
      </w:r>
      <w:r w:rsidR="00245E32" w:rsidRPr="00AA5DA1">
        <w:t>upport</w:t>
      </w:r>
      <w:r w:rsidR="00D12141" w:rsidRPr="00AA5DA1">
        <w:t>ing</w:t>
      </w:r>
      <w:r w:rsidR="00245E32" w:rsidRPr="00AA5DA1">
        <w:t xml:space="preserve"> this association</w:t>
      </w:r>
      <w:r w:rsidR="00D12141" w:rsidRPr="00AA5DA1">
        <w:t>, three factors can be pointed to</w:t>
      </w:r>
      <w:r w:rsidR="00245E32" w:rsidRPr="00AA5DA1">
        <w:t>:</w:t>
      </w:r>
      <w:r w:rsidR="00F51657" w:rsidRPr="00AA5DA1">
        <w:t xml:space="preserve"> </w:t>
      </w:r>
    </w:p>
    <w:p w:rsidR="00D12141" w:rsidRPr="00AA5DA1" w:rsidRDefault="00F51657" w:rsidP="00D12141">
      <w:pPr>
        <w:pStyle w:val="ListParagraph"/>
        <w:numPr>
          <w:ilvl w:val="0"/>
          <w:numId w:val="1"/>
        </w:numPr>
        <w:spacing w:after="0" w:line="360" w:lineRule="auto"/>
      </w:pPr>
      <w:r w:rsidRPr="00AA5DA1">
        <w:lastRenderedPageBreak/>
        <w:t>First, as a c</w:t>
      </w:r>
      <w:r w:rsidR="00176FAF" w:rsidRPr="00AA5DA1">
        <w:t xml:space="preserve">o-operative council, a stronger </w:t>
      </w:r>
      <w:r w:rsidRPr="00AA5DA1">
        <w:t xml:space="preserve">citizen focus </w:t>
      </w:r>
      <w:r w:rsidR="007116B4" w:rsidRPr="00AA5DA1">
        <w:t>is promoted by Lambeth Council</w:t>
      </w:r>
      <w:r w:rsidR="00D12141" w:rsidRPr="00AA5DA1">
        <w:t xml:space="preserve"> (the council helps to resource Made in Lambeth)</w:t>
      </w:r>
      <w:r w:rsidRPr="00AA5DA1">
        <w:t xml:space="preserve">. </w:t>
      </w:r>
      <w:r w:rsidR="005E7CED" w:rsidRPr="00AA5DA1">
        <w:t xml:space="preserve">The document, </w:t>
      </w:r>
      <w:r w:rsidRPr="00AA5DA1">
        <w:rPr>
          <w:i/>
        </w:rPr>
        <w:t>Behaviours for the Co-operative Council</w:t>
      </w:r>
      <w:r w:rsidR="005E7CED" w:rsidRPr="00AA5DA1">
        <w:t>,</w:t>
      </w:r>
      <w:r w:rsidRPr="00AA5DA1">
        <w:t xml:space="preserve"> </w:t>
      </w:r>
      <w:r w:rsidR="006C02B6" w:rsidRPr="00AA5DA1">
        <w:t xml:space="preserve">broadly </w:t>
      </w:r>
      <w:r w:rsidRPr="00AA5DA1">
        <w:t xml:space="preserve">sets out the </w:t>
      </w:r>
      <w:r w:rsidR="00176FAF" w:rsidRPr="00AA5DA1">
        <w:t xml:space="preserve">high-level </w:t>
      </w:r>
      <w:r w:rsidRPr="00AA5DA1">
        <w:t>position sought</w:t>
      </w:r>
      <w:r w:rsidR="005E7CED" w:rsidRPr="00AA5DA1">
        <w:t xml:space="preserve"> (Lambeth Council’s, 2013)</w:t>
      </w:r>
      <w:r w:rsidRPr="00AA5DA1">
        <w:t>. A council ethos, moreover, to do things “with people” than “to people”</w:t>
      </w:r>
      <w:r w:rsidR="00245E32" w:rsidRPr="00AA5DA1">
        <w:t xml:space="preserve"> is striking</w:t>
      </w:r>
      <w:r w:rsidR="002D712E" w:rsidRPr="00AA5DA1">
        <w:t xml:space="preserve"> (Murray, 2012)</w:t>
      </w:r>
      <w:r w:rsidR="007D5BE2" w:rsidRPr="00AA5DA1">
        <w:t xml:space="preserve">. </w:t>
      </w:r>
    </w:p>
    <w:p w:rsidR="00D12141" w:rsidRPr="00AA5DA1" w:rsidRDefault="007D5BE2" w:rsidP="00D12141">
      <w:pPr>
        <w:pStyle w:val="ListParagraph"/>
        <w:numPr>
          <w:ilvl w:val="0"/>
          <w:numId w:val="1"/>
        </w:numPr>
        <w:spacing w:after="0" w:line="360" w:lineRule="auto"/>
      </w:pPr>
      <w:r w:rsidRPr="00AA5DA1">
        <w:t xml:space="preserve">Second, </w:t>
      </w:r>
      <w:r w:rsidR="00432BE2" w:rsidRPr="00AA5DA1">
        <w:t>“</w:t>
      </w:r>
      <w:r w:rsidR="00F51657" w:rsidRPr="00AA5DA1">
        <w:t>Made in Lambeth</w:t>
      </w:r>
      <w:r w:rsidR="00432BE2" w:rsidRPr="00AA5DA1">
        <w:t>”</w:t>
      </w:r>
      <w:r w:rsidR="00F51657" w:rsidRPr="00AA5DA1">
        <w:t xml:space="preserve"> seeks </w:t>
      </w:r>
      <w:r w:rsidR="00176FAF" w:rsidRPr="00AA5DA1">
        <w:t xml:space="preserve">to generate solutions through </w:t>
      </w:r>
      <w:r w:rsidR="00E67FCE" w:rsidRPr="00AA5DA1">
        <w:t>co-production with a range of public and third sector</w:t>
      </w:r>
      <w:r w:rsidR="00176FAF" w:rsidRPr="00AA5DA1">
        <w:t xml:space="preserve"> groups</w:t>
      </w:r>
      <w:r w:rsidR="00196E94" w:rsidRPr="00AA5DA1">
        <w:t>.</w:t>
      </w:r>
      <w:r w:rsidR="00E67FCE" w:rsidRPr="00AA5DA1">
        <w:t xml:space="preserve"> This has included the Brixton Pound and Vauxhall City Farms, as well as public </w:t>
      </w:r>
      <w:r w:rsidR="005E7CED" w:rsidRPr="00AA5DA1">
        <w:t>health bodies</w:t>
      </w:r>
      <w:r w:rsidR="00E67FCE" w:rsidRPr="00AA5DA1">
        <w:t>.</w:t>
      </w:r>
      <w:r w:rsidR="00F51657" w:rsidRPr="00AA5DA1">
        <w:t xml:space="preserve"> </w:t>
      </w:r>
    </w:p>
    <w:p w:rsidR="00E67FCE" w:rsidRPr="00AA5DA1" w:rsidRDefault="00953A94" w:rsidP="00D12141">
      <w:pPr>
        <w:pStyle w:val="ListParagraph"/>
        <w:numPr>
          <w:ilvl w:val="0"/>
          <w:numId w:val="1"/>
        </w:numPr>
        <w:spacing w:after="0" w:line="360" w:lineRule="auto"/>
      </w:pPr>
      <w:r w:rsidRPr="00AA5DA1">
        <w:t>Thi</w:t>
      </w:r>
      <w:r w:rsidR="00253794" w:rsidRPr="00AA5DA1">
        <w:t xml:space="preserve">rd, </w:t>
      </w:r>
      <w:r w:rsidR="00E67FCE" w:rsidRPr="00AA5DA1">
        <w:t xml:space="preserve">independent and membership run </w:t>
      </w:r>
      <w:r w:rsidR="00253794" w:rsidRPr="00AA5DA1">
        <w:t>community trusts</w:t>
      </w:r>
      <w:r w:rsidR="006B0796" w:rsidRPr="00AA5DA1">
        <w:t xml:space="preserve"> -</w:t>
      </w:r>
      <w:r w:rsidR="00253794" w:rsidRPr="00AA5DA1">
        <w:t xml:space="preserve"> </w:t>
      </w:r>
      <w:r w:rsidR="006B0796" w:rsidRPr="00AA5DA1">
        <w:t>such as</w:t>
      </w:r>
      <w:r w:rsidRPr="00AA5DA1">
        <w:t xml:space="preserve"> the </w:t>
      </w:r>
      <w:r w:rsidR="00196E94" w:rsidRPr="00AA5DA1">
        <w:t>“</w:t>
      </w:r>
      <w:r w:rsidR="006B0796" w:rsidRPr="00AA5DA1">
        <w:t>Young Lambeth C</w:t>
      </w:r>
      <w:r w:rsidRPr="00AA5DA1">
        <w:t>ooperative</w:t>
      </w:r>
      <w:r w:rsidR="00196E94" w:rsidRPr="00AA5DA1">
        <w:t>”</w:t>
      </w:r>
      <w:r w:rsidR="00A11D58" w:rsidRPr="00AA5DA1">
        <w:t>,</w:t>
      </w:r>
      <w:r w:rsidR="006B0796" w:rsidRPr="00AA5DA1">
        <w:t xml:space="preserve"> which was</w:t>
      </w:r>
      <w:r w:rsidRPr="00AA5DA1">
        <w:t xml:space="preserve"> established</w:t>
      </w:r>
      <w:r w:rsidR="005E7CED" w:rsidRPr="00AA5DA1">
        <w:t>,</w:t>
      </w:r>
      <w:r w:rsidR="009565D2" w:rsidRPr="00AA5DA1">
        <w:t xml:space="preserve"> </w:t>
      </w:r>
      <w:r w:rsidR="00A11D58" w:rsidRPr="00AA5DA1">
        <w:t>with a designated budget</w:t>
      </w:r>
      <w:r w:rsidR="005E7CED" w:rsidRPr="00AA5DA1">
        <w:t>,</w:t>
      </w:r>
      <w:r w:rsidR="00176FAF" w:rsidRPr="00AA5DA1">
        <w:t xml:space="preserve"> </w:t>
      </w:r>
      <w:r w:rsidRPr="00AA5DA1">
        <w:t xml:space="preserve">to take charge of </w:t>
      </w:r>
      <w:r w:rsidR="00196E94" w:rsidRPr="00AA5DA1">
        <w:t>youth services</w:t>
      </w:r>
      <w:r w:rsidR="009565D2" w:rsidRPr="00AA5DA1">
        <w:t xml:space="preserve"> </w:t>
      </w:r>
      <w:r w:rsidR="006B0796" w:rsidRPr="00AA5DA1">
        <w:t>-</w:t>
      </w:r>
      <w:r w:rsidR="007116B4" w:rsidRPr="00AA5DA1">
        <w:t xml:space="preserve"> have </w:t>
      </w:r>
      <w:r w:rsidR="00A11D58" w:rsidRPr="00AA5DA1">
        <w:t>benefited from</w:t>
      </w:r>
      <w:r w:rsidR="00C45564" w:rsidRPr="00AA5DA1">
        <w:t xml:space="preserve"> participation</w:t>
      </w:r>
      <w:r w:rsidR="00A11D58" w:rsidRPr="00AA5DA1">
        <w:t xml:space="preserve"> in </w:t>
      </w:r>
      <w:r w:rsidR="007116B4" w:rsidRPr="00AA5DA1">
        <w:t>Made in Lambeth</w:t>
      </w:r>
      <w:r w:rsidR="00A11D58" w:rsidRPr="00AA5DA1">
        <w:t xml:space="preserve"> events</w:t>
      </w:r>
      <w:r w:rsidRPr="00AA5DA1">
        <w:t>.</w:t>
      </w:r>
      <w:r w:rsidR="0095530E" w:rsidRPr="00AA5DA1">
        <w:rPr>
          <w:lang w:val="en-NZ"/>
        </w:rPr>
        <w:t xml:space="preserve"> </w:t>
      </w:r>
    </w:p>
    <w:p w:rsidR="00E67FCE" w:rsidRPr="00AA5DA1" w:rsidRDefault="00E67FCE" w:rsidP="004A1E0B">
      <w:pPr>
        <w:spacing w:after="0" w:line="360" w:lineRule="auto"/>
      </w:pPr>
    </w:p>
    <w:p w:rsidR="0095530E" w:rsidRPr="00AA5DA1" w:rsidRDefault="00E67FCE" w:rsidP="004A1E0B">
      <w:pPr>
        <w:spacing w:after="0" w:line="360" w:lineRule="auto"/>
      </w:pPr>
      <w:r w:rsidRPr="00AA5DA1">
        <w:rPr>
          <w:lang w:val="en-NZ"/>
        </w:rPr>
        <w:t>T</w:t>
      </w:r>
      <w:r w:rsidR="0050771A" w:rsidRPr="00AA5DA1">
        <w:t>he aforementioned points have been drawn</w:t>
      </w:r>
      <w:r w:rsidR="0050771A" w:rsidRPr="00AA5DA1">
        <w:rPr>
          <w:lang w:val="en-NZ"/>
        </w:rPr>
        <w:t xml:space="preserve"> from a preliminary documentary analysis, </w:t>
      </w:r>
      <w:r w:rsidRPr="00AA5DA1">
        <w:rPr>
          <w:lang w:val="en-NZ"/>
        </w:rPr>
        <w:t xml:space="preserve">so </w:t>
      </w:r>
      <w:r w:rsidR="0050771A" w:rsidRPr="00AA5DA1">
        <w:rPr>
          <w:lang w:val="en-NZ"/>
        </w:rPr>
        <w:t>m</w:t>
      </w:r>
      <w:r w:rsidR="00953A94" w:rsidRPr="00AA5DA1">
        <w:t>ore</w:t>
      </w:r>
      <w:r w:rsidR="00BA46BB" w:rsidRPr="00AA5DA1">
        <w:t xml:space="preserve"> detailed</w:t>
      </w:r>
      <w:r w:rsidR="00953A94" w:rsidRPr="00AA5DA1">
        <w:t xml:space="preserve"> empirical work, measur</w:t>
      </w:r>
      <w:r w:rsidR="00B73969">
        <w:t>ing effectiveness and distinguishing</w:t>
      </w:r>
      <w:r w:rsidR="00953A94" w:rsidRPr="00AA5DA1">
        <w:t xml:space="preserve"> rhetoric</w:t>
      </w:r>
      <w:r w:rsidR="00BA46BB" w:rsidRPr="00AA5DA1">
        <w:t xml:space="preserve"> from reality,</w:t>
      </w:r>
      <w:r w:rsidR="00D93D32" w:rsidRPr="00AA5DA1">
        <w:t xml:space="preserve"> will </w:t>
      </w:r>
      <w:r w:rsidRPr="00AA5DA1">
        <w:t xml:space="preserve">of course </w:t>
      </w:r>
      <w:r w:rsidR="00D93D32" w:rsidRPr="00AA5DA1">
        <w:t>be</w:t>
      </w:r>
      <w:r w:rsidR="00953A94" w:rsidRPr="00AA5DA1">
        <w:t xml:space="preserve"> needed.</w:t>
      </w:r>
      <w:r w:rsidR="0095530E" w:rsidRPr="00AA5DA1">
        <w:t xml:space="preserve"> On the face of it, nevertheless</w:t>
      </w:r>
      <w:r w:rsidR="00953A94" w:rsidRPr="00AA5DA1">
        <w:t xml:space="preserve">, </w:t>
      </w:r>
      <w:r w:rsidR="00245E32" w:rsidRPr="00AA5DA1">
        <w:t>aspects of the</w:t>
      </w:r>
      <w:r w:rsidR="0095530E" w:rsidRPr="00AA5DA1">
        <w:t xml:space="preserve"> </w:t>
      </w:r>
      <w:r w:rsidR="0080252B" w:rsidRPr="00AA5DA1">
        <w:t>right</w:t>
      </w:r>
      <w:r w:rsidR="00845D88" w:rsidRPr="00AA5DA1">
        <w:t xml:space="preserve"> to the city</w:t>
      </w:r>
      <w:r w:rsidR="009170FF" w:rsidRPr="00AA5DA1">
        <w:t xml:space="preserve"> can be observed in</w:t>
      </w:r>
      <w:r w:rsidR="00C45564" w:rsidRPr="00AA5DA1">
        <w:t xml:space="preserve"> </w:t>
      </w:r>
      <w:r w:rsidR="009170FF" w:rsidRPr="00AA5DA1">
        <w:t>Lambeth Council’s approach</w:t>
      </w:r>
      <w:r w:rsidR="00845D88" w:rsidRPr="00AA5DA1">
        <w:t xml:space="preserve">. </w:t>
      </w:r>
    </w:p>
    <w:p w:rsidR="004A1E0B" w:rsidRPr="00AA5DA1" w:rsidRDefault="004A1E0B" w:rsidP="004A1E0B">
      <w:pPr>
        <w:spacing w:after="0" w:line="360" w:lineRule="auto"/>
        <w:rPr>
          <w:lang w:val="en-NZ"/>
        </w:rPr>
      </w:pPr>
    </w:p>
    <w:p w:rsidR="00F51657" w:rsidRPr="00AA5DA1" w:rsidRDefault="00D1126A" w:rsidP="004A1E0B">
      <w:pPr>
        <w:spacing w:after="0" w:line="360" w:lineRule="auto"/>
      </w:pPr>
      <w:r w:rsidRPr="00AA5DA1">
        <w:t>T</w:t>
      </w:r>
      <w:r w:rsidR="0095530E" w:rsidRPr="00AA5DA1">
        <w:t xml:space="preserve">here are perhaps two </w:t>
      </w:r>
      <w:r w:rsidR="009A01CC" w:rsidRPr="00AA5DA1">
        <w:t>issue</w:t>
      </w:r>
      <w:r w:rsidR="0095530E" w:rsidRPr="00AA5DA1">
        <w:t>s that warrant</w:t>
      </w:r>
      <w:r w:rsidR="009A01CC" w:rsidRPr="00AA5DA1">
        <w:t xml:space="preserve"> further focus</w:t>
      </w:r>
      <w:r w:rsidRPr="00AA5DA1">
        <w:t xml:space="preserve"> when considering conceptual applicability</w:t>
      </w:r>
      <w:r w:rsidR="00432BE2" w:rsidRPr="00AA5DA1">
        <w:t xml:space="preserve">. First, </w:t>
      </w:r>
      <w:r w:rsidR="0095530E" w:rsidRPr="00AA5DA1">
        <w:t>shaping all local authority activities and contexts</w:t>
      </w:r>
      <w:r w:rsidR="00845D88" w:rsidRPr="00AA5DA1">
        <w:t xml:space="preserve"> is ongoing and</w:t>
      </w:r>
      <w:r w:rsidR="0095530E" w:rsidRPr="00AA5DA1">
        <w:t xml:space="preserve"> </w:t>
      </w:r>
      <w:r w:rsidR="00845D88" w:rsidRPr="00AA5DA1">
        <w:t>deepening austerity</w:t>
      </w:r>
      <w:r w:rsidR="009A01CC" w:rsidRPr="00AA5DA1">
        <w:t>. This raises</w:t>
      </w:r>
      <w:r w:rsidR="00845D88" w:rsidRPr="00AA5DA1">
        <w:t xml:space="preserve"> questions as to whether co-operation</w:t>
      </w:r>
      <w:r w:rsidR="00C45564" w:rsidRPr="00AA5DA1">
        <w:t xml:space="preserve"> with stakeholders</w:t>
      </w:r>
      <w:r w:rsidR="00845D88" w:rsidRPr="00AA5DA1">
        <w:t xml:space="preserve"> is genuine or a smokescreen for policy dumping. Many councils do not choose austerity, but end up having to wield the axe in any case.</w:t>
      </w:r>
      <w:r w:rsidR="00BA46BB" w:rsidRPr="00AA5DA1">
        <w:t xml:space="preserve"> </w:t>
      </w:r>
      <w:r w:rsidR="00432BE2" w:rsidRPr="00AA5DA1">
        <w:t xml:space="preserve">Second, </w:t>
      </w:r>
      <w:r w:rsidRPr="00AA5DA1">
        <w:t>it is important to consider the nature and</w:t>
      </w:r>
      <w:r w:rsidR="00432BE2" w:rsidRPr="00AA5DA1">
        <w:t xml:space="preserve"> extent</w:t>
      </w:r>
      <w:r w:rsidRPr="00AA5DA1">
        <w:t xml:space="preserve"> to which</w:t>
      </w:r>
      <w:r w:rsidR="00432BE2" w:rsidRPr="00AA5DA1">
        <w:t xml:space="preserve"> the voice of marginalised groups </w:t>
      </w:r>
      <w:r w:rsidRPr="00AA5DA1">
        <w:t>impacts</w:t>
      </w:r>
      <w:r w:rsidR="00AC5006" w:rsidRPr="00AA5DA1">
        <w:t xml:space="preserve"> the</w:t>
      </w:r>
      <w:r w:rsidR="00432BE2" w:rsidRPr="00AA5DA1">
        <w:t xml:space="preserve"> co-production events</w:t>
      </w:r>
      <w:r w:rsidR="00AC5006" w:rsidRPr="00AA5DA1">
        <w:t xml:space="preserve"> that </w:t>
      </w:r>
      <w:r w:rsidR="009A01CC" w:rsidRPr="00AA5DA1">
        <w:t>“Made in Lambeth”</w:t>
      </w:r>
      <w:r w:rsidR="00245E32" w:rsidRPr="00AA5DA1">
        <w:t xml:space="preserve"> champions</w:t>
      </w:r>
      <w:r w:rsidR="00AC5006" w:rsidRPr="00AA5DA1">
        <w:t>. A</w:t>
      </w:r>
      <w:r w:rsidR="00432BE2" w:rsidRPr="00AA5DA1">
        <w:t xml:space="preserve"> middle class cabal designing policies</w:t>
      </w:r>
      <w:r w:rsidR="000B3CAC" w:rsidRPr="00AA5DA1">
        <w:t xml:space="preserve"> for </w:t>
      </w:r>
      <w:r w:rsidRPr="00AA5DA1">
        <w:t>peers</w:t>
      </w:r>
      <w:r w:rsidR="00245E32" w:rsidRPr="00AA5DA1">
        <w:t>,</w:t>
      </w:r>
      <w:r w:rsidR="00AC5006" w:rsidRPr="00AA5DA1">
        <w:t xml:space="preserve"> is</w:t>
      </w:r>
      <w:r w:rsidR="00D126ED" w:rsidRPr="00AA5DA1">
        <w:t xml:space="preserve"> </w:t>
      </w:r>
      <w:r w:rsidR="00AC5006" w:rsidRPr="00AA5DA1">
        <w:t>n</w:t>
      </w:r>
      <w:r w:rsidR="00D126ED" w:rsidRPr="00AA5DA1">
        <w:t xml:space="preserve">ot the politics Lefebvre </w:t>
      </w:r>
      <w:r w:rsidR="00D93D32" w:rsidRPr="00AA5DA1">
        <w:t xml:space="preserve">typically </w:t>
      </w:r>
      <w:r w:rsidRPr="00AA5DA1">
        <w:t>envisaged</w:t>
      </w:r>
      <w:r w:rsidR="006C02B6" w:rsidRPr="00AA5DA1">
        <w:t xml:space="preserve"> (Marcuse, 2009; c.f. Glass et al., 2014).</w:t>
      </w:r>
    </w:p>
    <w:p w:rsidR="004A1E0B" w:rsidRPr="00AA5DA1" w:rsidRDefault="004A1E0B" w:rsidP="004A1E0B">
      <w:pPr>
        <w:spacing w:after="0" w:line="360" w:lineRule="auto"/>
      </w:pPr>
    </w:p>
    <w:p w:rsidR="000612FB" w:rsidRPr="00AA5DA1" w:rsidRDefault="000612FB" w:rsidP="004A1E0B">
      <w:pPr>
        <w:spacing w:after="0" w:line="360" w:lineRule="auto"/>
      </w:pPr>
      <w:r w:rsidRPr="00AA5DA1">
        <w:t xml:space="preserve">A key </w:t>
      </w:r>
      <w:r w:rsidR="00E4612E" w:rsidRPr="00AA5DA1">
        <w:t>issue</w:t>
      </w:r>
      <w:r w:rsidR="00845D88" w:rsidRPr="00AA5DA1">
        <w:t xml:space="preserve"> when </w:t>
      </w:r>
      <w:r w:rsidR="00D1126A" w:rsidRPr="00AA5DA1">
        <w:t>testing the relevance of the concept</w:t>
      </w:r>
      <w:r w:rsidR="00845D88" w:rsidRPr="00AA5DA1">
        <w:t>,</w:t>
      </w:r>
      <w:r w:rsidRPr="00AA5DA1">
        <w:t xml:space="preserve"> therefore, is the difference between echoing some of the principles of </w:t>
      </w:r>
      <w:r w:rsidR="0080252B" w:rsidRPr="00AA5DA1">
        <w:t>right</w:t>
      </w:r>
      <w:r w:rsidRPr="00AA5DA1">
        <w:t xml:space="preserve"> to the city</w:t>
      </w:r>
      <w:r w:rsidR="009A01CC" w:rsidRPr="00AA5DA1">
        <w:t xml:space="preserve"> in contemporary policy initiatives</w:t>
      </w:r>
      <w:r w:rsidRPr="00AA5DA1">
        <w:t xml:space="preserve">, </w:t>
      </w:r>
      <w:r w:rsidR="0080252B" w:rsidRPr="00AA5DA1">
        <w:t>and adopting right</w:t>
      </w:r>
      <w:r w:rsidR="009A01CC" w:rsidRPr="00AA5DA1">
        <w:t xml:space="preserve"> to the city</w:t>
      </w:r>
      <w:r w:rsidRPr="00AA5DA1">
        <w:t xml:space="preserve"> as a fully-fledged political and policy orientation.</w:t>
      </w:r>
      <w:r w:rsidR="00E4612E" w:rsidRPr="00AA5DA1">
        <w:t xml:space="preserve"> </w:t>
      </w:r>
      <w:r w:rsidR="00BA46BB" w:rsidRPr="00AA5DA1">
        <w:t>The extent to which</w:t>
      </w:r>
      <w:r w:rsidR="00E4612E" w:rsidRPr="00AA5DA1">
        <w:t xml:space="preserve"> the former satisfies the term will be subjective given no hard lines are drawn around the concept.</w:t>
      </w:r>
      <w:r w:rsidR="00BC7BD9" w:rsidRPr="00AA5DA1">
        <w:t xml:space="preserve"> However, depth of citizen engagement may give some indication</w:t>
      </w:r>
      <w:r w:rsidR="00E4612E" w:rsidRPr="00AA5DA1">
        <w:t xml:space="preserve"> </w:t>
      </w:r>
      <w:r w:rsidR="00D1126A" w:rsidRPr="00AA5DA1">
        <w:t xml:space="preserve">(contrasting </w:t>
      </w:r>
      <w:r w:rsidR="00BC7BD9" w:rsidRPr="00AA5DA1">
        <w:t xml:space="preserve">tokenistic consultation </w:t>
      </w:r>
      <w:r w:rsidR="00D1126A" w:rsidRPr="00AA5DA1">
        <w:t>exercises</w:t>
      </w:r>
      <w:r w:rsidR="00BC7BD9" w:rsidRPr="00AA5DA1">
        <w:t xml:space="preserve">). </w:t>
      </w:r>
      <w:r w:rsidR="00E4612E" w:rsidRPr="00AA5DA1">
        <w:t>The latter requires a more normative rather</w:t>
      </w:r>
      <w:r w:rsidR="00845D88" w:rsidRPr="00AA5DA1">
        <w:t xml:space="preserve"> than procedural pre-occupation</w:t>
      </w:r>
      <w:r w:rsidR="009148A9" w:rsidRPr="00AA5DA1">
        <w:t>, and the vision of</w:t>
      </w:r>
      <w:r w:rsidR="00BA46BB" w:rsidRPr="00AA5DA1">
        <w:t xml:space="preserve"> </w:t>
      </w:r>
      <w:r w:rsidR="00E4612E" w:rsidRPr="00AA5DA1">
        <w:t>a radically different political economy</w:t>
      </w:r>
      <w:r w:rsidR="009148A9" w:rsidRPr="00AA5DA1">
        <w:t xml:space="preserve"> is critical here</w:t>
      </w:r>
      <w:r w:rsidR="006C02B6" w:rsidRPr="00AA5DA1">
        <w:t xml:space="preserve"> (Purcell, 2014)</w:t>
      </w:r>
      <w:r w:rsidR="00F51657" w:rsidRPr="00AA5DA1">
        <w:t>.</w:t>
      </w:r>
      <w:r w:rsidR="00845D88" w:rsidRPr="00AA5DA1">
        <w:t xml:space="preserve"> </w:t>
      </w:r>
    </w:p>
    <w:p w:rsidR="004A1E0B" w:rsidRPr="00AA5DA1" w:rsidRDefault="004A1E0B" w:rsidP="004A1E0B">
      <w:pPr>
        <w:spacing w:after="0" w:line="360" w:lineRule="auto"/>
      </w:pPr>
    </w:p>
    <w:p w:rsidR="00AC5006" w:rsidRPr="00AA5DA1" w:rsidRDefault="00AC5006" w:rsidP="004A1E0B">
      <w:pPr>
        <w:spacing w:after="0" w:line="360" w:lineRule="auto"/>
      </w:pPr>
      <w:r w:rsidRPr="00AA5DA1">
        <w:lastRenderedPageBreak/>
        <w:t xml:space="preserve">Finally, </w:t>
      </w:r>
      <w:r w:rsidR="0095530E" w:rsidRPr="00AA5DA1">
        <w:t xml:space="preserve">as a definitional concern, </w:t>
      </w:r>
      <w:r w:rsidRPr="00AA5DA1">
        <w:t xml:space="preserve">a reading of the literature </w:t>
      </w:r>
      <w:r w:rsidR="009A01CC" w:rsidRPr="00AA5DA1">
        <w:t>raises questions as to whether</w:t>
      </w:r>
      <w:r w:rsidR="0080252B" w:rsidRPr="00AA5DA1">
        <w:t xml:space="preserve"> right</w:t>
      </w:r>
      <w:r w:rsidRPr="00AA5DA1">
        <w:t xml:space="preserve"> to the city is a strictly urban problematic. Recalling Scott and Storper’s </w:t>
      </w:r>
      <w:r w:rsidR="006C02B6" w:rsidRPr="00AA5DA1">
        <w:t xml:space="preserve">(2014) </w:t>
      </w:r>
      <w:r w:rsidRPr="00AA5DA1">
        <w:t xml:space="preserve">desire to separate the </w:t>
      </w:r>
      <w:r w:rsidR="00F97865" w:rsidRPr="00AA5DA1">
        <w:t>distinctively urban from more general socio-spatial patterns</w:t>
      </w:r>
      <w:r w:rsidRPr="00AA5DA1">
        <w:t xml:space="preserve"> </w:t>
      </w:r>
      <w:r w:rsidR="00D126ED" w:rsidRPr="00AA5DA1">
        <w:t>–</w:t>
      </w:r>
      <w:r w:rsidRPr="00AA5DA1">
        <w:t xml:space="preserve"> </w:t>
      </w:r>
      <w:r w:rsidR="00D126ED" w:rsidRPr="00AA5DA1">
        <w:t xml:space="preserve">in other words, </w:t>
      </w:r>
      <w:r w:rsidR="00D1126A" w:rsidRPr="00AA5DA1">
        <w:t>what activities and processes are</w:t>
      </w:r>
      <w:r w:rsidRPr="00AA5DA1">
        <w:t xml:space="preserve"> unique to urban spaces vi</w:t>
      </w:r>
      <w:r w:rsidR="00D1126A" w:rsidRPr="00AA5DA1">
        <w:t>s-à-vis what are</w:t>
      </w:r>
      <w:r w:rsidR="00D126ED" w:rsidRPr="00AA5DA1">
        <w:t xml:space="preserve"> present in urban settings </w:t>
      </w:r>
      <w:r w:rsidR="00D1126A" w:rsidRPr="00AA5DA1">
        <w:t>amongst a wider range of spatial contexts</w:t>
      </w:r>
      <w:r w:rsidRPr="00AA5DA1">
        <w:t xml:space="preserve"> - one might be </w:t>
      </w:r>
      <w:r w:rsidR="009A01CC" w:rsidRPr="00AA5DA1">
        <w:t xml:space="preserve">inclined </w:t>
      </w:r>
      <w:r w:rsidRPr="00AA5DA1">
        <w:t xml:space="preserve">to </w:t>
      </w:r>
      <w:r w:rsidR="00026938" w:rsidRPr="00AA5DA1">
        <w:t xml:space="preserve">suggest </w:t>
      </w:r>
      <w:r w:rsidR="009A01CC" w:rsidRPr="00AA5DA1">
        <w:t xml:space="preserve">that the concept </w:t>
      </w:r>
      <w:r w:rsidR="00026938" w:rsidRPr="00AA5DA1">
        <w:t xml:space="preserve">is </w:t>
      </w:r>
      <w:r w:rsidR="00F917F8" w:rsidRPr="00AA5DA1">
        <w:t xml:space="preserve">tractable in terms of </w:t>
      </w:r>
      <w:r w:rsidRPr="00AA5DA1">
        <w:t>broader</w:t>
      </w:r>
      <w:r w:rsidR="00F917F8" w:rsidRPr="00AA5DA1">
        <w:t xml:space="preserve"> geographies</w:t>
      </w:r>
      <w:r w:rsidRPr="00AA5DA1">
        <w:t xml:space="preserve"> of state-</w:t>
      </w:r>
      <w:r w:rsidR="00631766" w:rsidRPr="00AA5DA1">
        <w:t>capital-</w:t>
      </w:r>
      <w:r w:rsidRPr="00AA5DA1">
        <w:t>citizen interactions.</w:t>
      </w:r>
      <w:r w:rsidR="002D712E" w:rsidRPr="00AA5DA1">
        <w:t xml:space="preserve"> It is conceivable, however, that the densities and proximities afforded by urban space may be</w:t>
      </w:r>
      <w:r w:rsidR="00AA5DA1" w:rsidRPr="00AA5DA1">
        <w:t xml:space="preserve"> more</w:t>
      </w:r>
      <w:r w:rsidR="002D712E" w:rsidRPr="00AA5DA1">
        <w:t xml:space="preserve"> conducive to a right-based politics emerging.</w:t>
      </w:r>
    </w:p>
    <w:p w:rsidR="004A1E0B" w:rsidRPr="00AA5DA1" w:rsidRDefault="004A1E0B" w:rsidP="004A1E0B">
      <w:pPr>
        <w:spacing w:after="0" w:line="360" w:lineRule="auto"/>
      </w:pPr>
    </w:p>
    <w:p w:rsidR="00F51657" w:rsidRPr="00AA5DA1" w:rsidRDefault="00047D7E" w:rsidP="004A1E0B">
      <w:pPr>
        <w:spacing w:after="0" w:line="360" w:lineRule="auto"/>
      </w:pPr>
      <w:r w:rsidRPr="00AA5DA1">
        <w:t>Though</w:t>
      </w:r>
      <w:r w:rsidR="00EE17FB" w:rsidRPr="00AA5DA1">
        <w:t>,</w:t>
      </w:r>
      <w:r w:rsidRPr="00AA5DA1">
        <w:t xml:space="preserve"> </w:t>
      </w:r>
      <w:r w:rsidR="00D1126A" w:rsidRPr="00AA5DA1">
        <w:t>typically</w:t>
      </w:r>
      <w:r w:rsidR="00EE17FB" w:rsidRPr="00AA5DA1">
        <w:t>,</w:t>
      </w:r>
      <w:r w:rsidR="00D1126A" w:rsidRPr="00AA5DA1">
        <w:t xml:space="preserve"> </w:t>
      </w:r>
      <w:r w:rsidRPr="00AA5DA1">
        <w:t>not an easy bedfellow of contemporary public policy</w:t>
      </w:r>
      <w:r w:rsidR="00631766" w:rsidRPr="00AA5DA1">
        <w:t xml:space="preserve"> -</w:t>
      </w:r>
      <w:r w:rsidR="009148A9" w:rsidRPr="00AA5DA1">
        <w:t xml:space="preserve"> due to both prevailing political currents and definitional </w:t>
      </w:r>
      <w:r w:rsidR="00D126ED" w:rsidRPr="00AA5DA1">
        <w:t>breadth</w:t>
      </w:r>
      <w:r w:rsidR="00923EB0" w:rsidRPr="00AA5DA1">
        <w:t xml:space="preserve"> (a concept that is at “once complex and fluid” (Purcell, 2002))</w:t>
      </w:r>
      <w:r w:rsidR="00631766" w:rsidRPr="00AA5DA1">
        <w:t xml:space="preserve"> -</w:t>
      </w:r>
      <w:r w:rsidRPr="00AA5DA1">
        <w:t xml:space="preserve"> </w:t>
      </w:r>
      <w:r w:rsidR="002031E9" w:rsidRPr="00AA5DA1">
        <w:t>it is intriguing to consider</w:t>
      </w:r>
      <w:r w:rsidR="00D1126A" w:rsidRPr="00AA5DA1">
        <w:t xml:space="preserve"> </w:t>
      </w:r>
      <w:r w:rsidR="002031E9" w:rsidRPr="00AA5DA1">
        <w:t>how</w:t>
      </w:r>
      <w:r w:rsidRPr="00AA5DA1">
        <w:t xml:space="preserve"> </w:t>
      </w:r>
      <w:r w:rsidR="0080252B" w:rsidRPr="00AA5DA1">
        <w:t>right</w:t>
      </w:r>
      <w:r w:rsidRPr="00AA5DA1">
        <w:t xml:space="preserve"> to the city may be usefully deployed to craft new spaces </w:t>
      </w:r>
      <w:r w:rsidR="00245E32" w:rsidRPr="00AA5DA1">
        <w:t xml:space="preserve">of </w:t>
      </w:r>
      <w:r w:rsidRPr="00AA5DA1">
        <w:t>policy engagement.</w:t>
      </w:r>
    </w:p>
    <w:p w:rsidR="0050771A" w:rsidRDefault="0050771A" w:rsidP="004A1E0B">
      <w:pPr>
        <w:spacing w:after="0" w:line="360" w:lineRule="auto"/>
        <w:rPr>
          <w:b/>
        </w:rPr>
      </w:pPr>
    </w:p>
    <w:p w:rsidR="0050771A" w:rsidRDefault="0050771A" w:rsidP="004A1E0B">
      <w:pPr>
        <w:spacing w:after="0" w:line="360" w:lineRule="auto"/>
        <w:rPr>
          <w:b/>
        </w:rPr>
      </w:pPr>
    </w:p>
    <w:p w:rsidR="00F51657" w:rsidRDefault="00D93D32" w:rsidP="004A1E0B">
      <w:pPr>
        <w:spacing w:after="0" w:line="360" w:lineRule="auto"/>
        <w:rPr>
          <w:b/>
        </w:rPr>
      </w:pPr>
      <w:r w:rsidRPr="00D93D32">
        <w:rPr>
          <w:b/>
        </w:rPr>
        <w:t xml:space="preserve">References </w:t>
      </w:r>
    </w:p>
    <w:p w:rsidR="001178B6" w:rsidRPr="00D93D32" w:rsidRDefault="001178B6" w:rsidP="004A1E0B">
      <w:pPr>
        <w:spacing w:after="0" w:line="360" w:lineRule="auto"/>
        <w:rPr>
          <w:b/>
        </w:rPr>
      </w:pPr>
    </w:p>
    <w:p w:rsidR="00D93D32" w:rsidRDefault="00D93D32" w:rsidP="002D712E">
      <w:pPr>
        <w:spacing w:after="100" w:afterAutospacing="1" w:line="360" w:lineRule="auto"/>
      </w:pPr>
      <w:r>
        <w:t xml:space="preserve">Aalbers MB and Gibb K (2014) Housing and the right to the city: introduction to the special issue. </w:t>
      </w:r>
      <w:r w:rsidRPr="00D93D32">
        <w:rPr>
          <w:i/>
        </w:rPr>
        <w:t>International Journal of Housing Policy</w:t>
      </w:r>
      <w:r>
        <w:t>, 14(3): 207-213.</w:t>
      </w:r>
    </w:p>
    <w:p w:rsidR="00D93D32" w:rsidRDefault="00D93D32" w:rsidP="002D712E">
      <w:pPr>
        <w:spacing w:after="100" w:afterAutospacing="1" w:line="360" w:lineRule="auto"/>
      </w:pPr>
      <w:r>
        <w:t xml:space="preserve">Attoh KA (2011) </w:t>
      </w:r>
      <w:r w:rsidRPr="00D93D32">
        <w:t>What kind of right is the right to the city?</w:t>
      </w:r>
      <w:r>
        <w:t xml:space="preserve"> </w:t>
      </w:r>
      <w:r w:rsidRPr="00D93D32">
        <w:rPr>
          <w:i/>
        </w:rPr>
        <w:t>Progress in Human Geography</w:t>
      </w:r>
      <w:r>
        <w:t>, 35(</w:t>
      </w:r>
      <w:r w:rsidRPr="00D93D32">
        <w:t>5</w:t>
      </w:r>
      <w:r>
        <w:t>): 669-</w:t>
      </w:r>
      <w:r w:rsidRPr="00D93D32">
        <w:t>685</w:t>
      </w:r>
      <w:r>
        <w:t>.</w:t>
      </w:r>
    </w:p>
    <w:p w:rsidR="00EE17FB" w:rsidRDefault="00892036" w:rsidP="002D712E">
      <w:pPr>
        <w:spacing w:after="100" w:afterAutospacing="1" w:line="360" w:lineRule="auto"/>
      </w:pPr>
      <w:r>
        <w:t>Bristow G (2010</w:t>
      </w:r>
      <w:r w:rsidR="00EE17FB">
        <w:t xml:space="preserve">) </w:t>
      </w:r>
      <w:r w:rsidR="00EE17FB" w:rsidRPr="00EE17FB">
        <w:rPr>
          <w:i/>
        </w:rPr>
        <w:t>Critical reflections on regional competitiveness</w:t>
      </w:r>
      <w:r w:rsidR="00EE17FB">
        <w:t>. Routledge: Abingdon.</w:t>
      </w:r>
    </w:p>
    <w:p w:rsidR="00D93D32" w:rsidRDefault="00D93D32" w:rsidP="002D712E">
      <w:pPr>
        <w:spacing w:after="100" w:afterAutospacing="1" w:line="360" w:lineRule="auto"/>
      </w:pPr>
      <w:r>
        <w:t xml:space="preserve">Glass MR, Woldoff R and Morrison L (2014) </w:t>
      </w:r>
      <w:r w:rsidRPr="00D93D32">
        <w:t>Does the middle class have rights to the city? Contingent rights and the struggle to inhabit Stuyvesant Town, New York</w:t>
      </w:r>
      <w:r>
        <w:t xml:space="preserve">. </w:t>
      </w:r>
      <w:r w:rsidRPr="00D93D32">
        <w:rPr>
          <w:i/>
        </w:rPr>
        <w:t>International Journal of Housing Policy</w:t>
      </w:r>
      <w:r>
        <w:t>, 14(</w:t>
      </w:r>
      <w:r w:rsidRPr="00D93D32">
        <w:t>3</w:t>
      </w:r>
      <w:r>
        <w:t>):</w:t>
      </w:r>
      <w:r w:rsidRPr="00D93D32">
        <w:t xml:space="preserve"> 214-235</w:t>
      </w:r>
      <w:r>
        <w:t>.</w:t>
      </w:r>
    </w:p>
    <w:p w:rsidR="002031E9" w:rsidRDefault="00D93D32" w:rsidP="002D712E">
      <w:pPr>
        <w:spacing w:after="100" w:afterAutospacing="1" w:line="360" w:lineRule="auto"/>
      </w:pPr>
      <w:r>
        <w:t xml:space="preserve">Lambeth Council’s (2013) Behaviours for the Co-operative Council. </w:t>
      </w:r>
    </w:p>
    <w:p w:rsidR="00716FAE" w:rsidRDefault="00716FAE" w:rsidP="002D712E">
      <w:pPr>
        <w:spacing w:after="100" w:afterAutospacing="1" w:line="360" w:lineRule="auto"/>
      </w:pPr>
      <w:r>
        <w:t xml:space="preserve">Marcuse P (2009) From critical urban theory to the right to the city. </w:t>
      </w:r>
      <w:r w:rsidRPr="00716FAE">
        <w:rPr>
          <w:i/>
        </w:rPr>
        <w:t>City: analysis of urban trends, culture, theory, policy, action</w:t>
      </w:r>
      <w:r>
        <w:t>, 13(2-3): 185-197.</w:t>
      </w:r>
    </w:p>
    <w:p w:rsidR="00A11D58" w:rsidRDefault="00A11D58" w:rsidP="002D712E">
      <w:pPr>
        <w:spacing w:after="100" w:afterAutospacing="1" w:line="360" w:lineRule="auto"/>
      </w:pPr>
      <w:r>
        <w:t xml:space="preserve">Marsh S (2013) </w:t>
      </w:r>
      <w:r w:rsidRPr="00A11D58">
        <w:t>Involving people in the design and delive</w:t>
      </w:r>
      <w:r>
        <w:t>ry of services. The Guardian, 17 October.</w:t>
      </w:r>
    </w:p>
    <w:p w:rsidR="002D712E" w:rsidRDefault="002D712E" w:rsidP="002D712E">
      <w:pPr>
        <w:spacing w:after="100" w:afterAutospacing="1" w:line="360" w:lineRule="auto"/>
      </w:pPr>
      <w:r>
        <w:t xml:space="preserve">Murray K (2012) Councils adopt a co-operative approach. The Guardian, 21 November. </w:t>
      </w:r>
    </w:p>
    <w:p w:rsidR="00D93D32" w:rsidRDefault="00716FAE" w:rsidP="002D712E">
      <w:pPr>
        <w:spacing w:after="100" w:afterAutospacing="1" w:line="360" w:lineRule="auto"/>
      </w:pPr>
      <w:r>
        <w:lastRenderedPageBreak/>
        <w:t xml:space="preserve">Purcell M (2002) Excavating Lefebvre: The right to the city and its urban politics of the inhabitant. </w:t>
      </w:r>
      <w:r w:rsidRPr="00716FAE">
        <w:rPr>
          <w:i/>
        </w:rPr>
        <w:t>GeoJournal</w:t>
      </w:r>
      <w:r>
        <w:t>, 58: 99–108.</w:t>
      </w:r>
    </w:p>
    <w:p w:rsidR="00716FAE" w:rsidRDefault="00716FAE" w:rsidP="002D712E">
      <w:pPr>
        <w:spacing w:after="100" w:afterAutospacing="1" w:line="360" w:lineRule="auto"/>
      </w:pPr>
      <w:r>
        <w:t xml:space="preserve">Purcell M (2014) Possible Worlds: Henri Lefebvre and the Right to the City. </w:t>
      </w:r>
      <w:r w:rsidRPr="00716FAE">
        <w:rPr>
          <w:i/>
        </w:rPr>
        <w:t>Journal of Urban Affairs</w:t>
      </w:r>
      <w:r>
        <w:t>, 36(1): 141–154.</w:t>
      </w:r>
    </w:p>
    <w:p w:rsidR="00716FAE" w:rsidRPr="00716FAE" w:rsidRDefault="00716FAE" w:rsidP="002D712E">
      <w:pPr>
        <w:spacing w:after="100" w:afterAutospacing="1" w:line="360" w:lineRule="auto"/>
      </w:pPr>
      <w:r>
        <w:t xml:space="preserve">Scott AJ and Storper M (2014) </w:t>
      </w:r>
      <w:r w:rsidRPr="00716FAE">
        <w:t>The Nature of Cities: The Scope and Limits of Urban Theory</w:t>
      </w:r>
      <w:r>
        <w:t xml:space="preserve">. </w:t>
      </w:r>
      <w:r w:rsidRPr="00716FAE">
        <w:rPr>
          <w:i/>
        </w:rPr>
        <w:t>International Journal of Urban and Regional Research</w:t>
      </w:r>
      <w:r>
        <w:t>, Online First.</w:t>
      </w:r>
    </w:p>
    <w:p w:rsidR="00716FAE" w:rsidRDefault="00716FAE" w:rsidP="00716FAE"/>
    <w:sectPr w:rsidR="00716FAE" w:rsidSect="00B65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95B7D"/>
    <w:multiLevelType w:val="hybridMultilevel"/>
    <w:tmpl w:val="4C2C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5"/>
    <w:rsid w:val="00026938"/>
    <w:rsid w:val="00040EEE"/>
    <w:rsid w:val="00046678"/>
    <w:rsid w:val="00047D7E"/>
    <w:rsid w:val="000612FB"/>
    <w:rsid w:val="000756C5"/>
    <w:rsid w:val="000B3CAC"/>
    <w:rsid w:val="001178B6"/>
    <w:rsid w:val="00176FAF"/>
    <w:rsid w:val="00196E94"/>
    <w:rsid w:val="002031E9"/>
    <w:rsid w:val="00225826"/>
    <w:rsid w:val="00245E32"/>
    <w:rsid w:val="00253794"/>
    <w:rsid w:val="00273110"/>
    <w:rsid w:val="002D712E"/>
    <w:rsid w:val="002E7F4A"/>
    <w:rsid w:val="00303266"/>
    <w:rsid w:val="003457FD"/>
    <w:rsid w:val="003E2075"/>
    <w:rsid w:val="00432BE2"/>
    <w:rsid w:val="004A1E0B"/>
    <w:rsid w:val="0050771A"/>
    <w:rsid w:val="005E7CED"/>
    <w:rsid w:val="005F2833"/>
    <w:rsid w:val="0062002D"/>
    <w:rsid w:val="00631766"/>
    <w:rsid w:val="006B0796"/>
    <w:rsid w:val="006C02B6"/>
    <w:rsid w:val="006C63E5"/>
    <w:rsid w:val="007116B4"/>
    <w:rsid w:val="00716FAE"/>
    <w:rsid w:val="00736140"/>
    <w:rsid w:val="007365A9"/>
    <w:rsid w:val="00787A9E"/>
    <w:rsid w:val="007D5BE2"/>
    <w:rsid w:val="0080252B"/>
    <w:rsid w:val="008428FB"/>
    <w:rsid w:val="00845D88"/>
    <w:rsid w:val="00892036"/>
    <w:rsid w:val="008A26C5"/>
    <w:rsid w:val="009148A9"/>
    <w:rsid w:val="009170FF"/>
    <w:rsid w:val="00923EB0"/>
    <w:rsid w:val="00953A94"/>
    <w:rsid w:val="0095530E"/>
    <w:rsid w:val="009565D2"/>
    <w:rsid w:val="009A01CC"/>
    <w:rsid w:val="009C4BFA"/>
    <w:rsid w:val="00A11D58"/>
    <w:rsid w:val="00AA5DA1"/>
    <w:rsid w:val="00AC5006"/>
    <w:rsid w:val="00AE6172"/>
    <w:rsid w:val="00B003F9"/>
    <w:rsid w:val="00B655B2"/>
    <w:rsid w:val="00B73969"/>
    <w:rsid w:val="00B956C5"/>
    <w:rsid w:val="00BA46BB"/>
    <w:rsid w:val="00BB220F"/>
    <w:rsid w:val="00BC7BD9"/>
    <w:rsid w:val="00BE29A9"/>
    <w:rsid w:val="00C45564"/>
    <w:rsid w:val="00C61966"/>
    <w:rsid w:val="00CA023C"/>
    <w:rsid w:val="00CA75C0"/>
    <w:rsid w:val="00CB7104"/>
    <w:rsid w:val="00D10985"/>
    <w:rsid w:val="00D1126A"/>
    <w:rsid w:val="00D12141"/>
    <w:rsid w:val="00D126ED"/>
    <w:rsid w:val="00D14317"/>
    <w:rsid w:val="00D93D32"/>
    <w:rsid w:val="00E4612E"/>
    <w:rsid w:val="00E52584"/>
    <w:rsid w:val="00E67FCE"/>
    <w:rsid w:val="00ED70FC"/>
    <w:rsid w:val="00EE17FB"/>
    <w:rsid w:val="00F03C30"/>
    <w:rsid w:val="00F3207B"/>
    <w:rsid w:val="00F51657"/>
    <w:rsid w:val="00F917F8"/>
    <w:rsid w:val="00F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33D2F-A8C6-4F81-9D37-746DE5F2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B2"/>
  </w:style>
  <w:style w:type="paragraph" w:styleId="Heading2">
    <w:name w:val="heading 2"/>
    <w:basedOn w:val="Normal"/>
    <w:link w:val="Heading2Char"/>
    <w:uiPriority w:val="9"/>
    <w:qFormat/>
    <w:rsid w:val="00716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E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16FA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D1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3DAF4-3EF5-486A-BEDE-ED0104D4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insrv</cp:lastModifiedBy>
  <cp:revision>2</cp:revision>
  <cp:lastPrinted>2015-06-29T14:57:00Z</cp:lastPrinted>
  <dcterms:created xsi:type="dcterms:W3CDTF">2015-07-07T13:49:00Z</dcterms:created>
  <dcterms:modified xsi:type="dcterms:W3CDTF">2015-07-07T13:49:00Z</dcterms:modified>
</cp:coreProperties>
</file>