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F1" w:rsidRPr="008F11C7" w:rsidRDefault="00E436F1" w:rsidP="00E436F1">
      <w:pPr>
        <w:pStyle w:val="Heading2"/>
        <w:tabs>
          <w:tab w:val="center" w:pos="6979"/>
          <w:tab w:val="right" w:pos="13958"/>
        </w:tabs>
        <w:rPr>
          <w:sz w:val="28"/>
          <w:szCs w:val="28"/>
        </w:rPr>
      </w:pPr>
      <w:bookmarkStart w:id="0" w:name="_GoBack"/>
      <w:bookmarkEnd w:id="0"/>
      <w:r>
        <w:rPr>
          <w:sz w:val="28"/>
          <w:szCs w:val="28"/>
        </w:rPr>
        <w:tab/>
      </w:r>
      <w:r w:rsidRPr="008F11C7">
        <w:rPr>
          <w:sz w:val="28"/>
          <w:szCs w:val="28"/>
        </w:rPr>
        <w:t>Decision grid for THESEUS Study</w:t>
      </w:r>
      <w:r>
        <w:rPr>
          <w:sz w:val="28"/>
          <w:szCs w:val="28"/>
        </w:rPr>
        <w:tab/>
      </w:r>
    </w:p>
    <w:tbl>
      <w:tblPr>
        <w:tblStyle w:val="GridTable2-Accent51"/>
        <w:tblpPr w:leftFromText="180" w:rightFromText="180" w:vertAnchor="page" w:horzAnchor="margin" w:tblpXSpec="center" w:tblpY="2217"/>
        <w:tblW w:w="14034" w:type="dxa"/>
        <w:tblLook w:val="04A0" w:firstRow="1" w:lastRow="0" w:firstColumn="1" w:lastColumn="0" w:noHBand="0" w:noVBand="1"/>
      </w:tblPr>
      <w:tblGrid>
        <w:gridCol w:w="1333"/>
        <w:gridCol w:w="2557"/>
        <w:gridCol w:w="1963"/>
        <w:gridCol w:w="1612"/>
        <w:gridCol w:w="3694"/>
        <w:gridCol w:w="1253"/>
        <w:gridCol w:w="1622"/>
      </w:tblGrid>
      <w:tr w:rsidR="00E436F1" w:rsidRPr="00E436F1" w:rsidTr="002602A7">
        <w:trPr>
          <w:cnfStyle w:val="100000000000" w:firstRow="1" w:lastRow="0" w:firstColumn="0" w:lastColumn="0" w:oddVBand="0" w:evenVBand="0" w:oddHBand="0"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134" w:type="dxa"/>
            <w:tcBorders>
              <w:bottom w:val="double" w:sz="4" w:space="0" w:color="5AA2AE"/>
              <w:right w:val="double" w:sz="4" w:space="0" w:color="5AA2AE"/>
            </w:tcBorders>
          </w:tcPr>
          <w:p w:rsidR="00E436F1" w:rsidRPr="00E436F1" w:rsidRDefault="00E436F1" w:rsidP="00E436F1">
            <w:pPr>
              <w:rPr>
                <w:rFonts w:ascii="Calibri" w:eastAsia="Times New Roman" w:hAnsi="Calibri" w:cs="Times New Roman"/>
                <w:color w:val="374C80"/>
                <w:sz w:val="18"/>
                <w:szCs w:val="18"/>
              </w:rPr>
            </w:pPr>
          </w:p>
        </w:tc>
        <w:tc>
          <w:tcPr>
            <w:tcW w:w="2610" w:type="dxa"/>
            <w:tcBorders>
              <w:left w:val="double" w:sz="4" w:space="0" w:color="5AA2AE"/>
              <w:bottom w:val="double" w:sz="4" w:space="0" w:color="5AA2AE"/>
            </w:tcBorders>
          </w:tcPr>
          <w:p w:rsidR="00E436F1" w:rsidRPr="00E436F1" w:rsidRDefault="00E436F1" w:rsidP="00E436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What does it involve?</w:t>
            </w:r>
          </w:p>
        </w:tc>
        <w:tc>
          <w:tcPr>
            <w:tcW w:w="1991" w:type="dxa"/>
            <w:tcBorders>
              <w:bottom w:val="double" w:sz="4" w:space="0" w:color="5AA2AE"/>
            </w:tcBorders>
          </w:tcPr>
          <w:p w:rsidR="00E436F1" w:rsidRPr="00E436F1" w:rsidRDefault="00E436F1" w:rsidP="00E436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Is the treatment suitable for me?</w:t>
            </w:r>
          </w:p>
        </w:tc>
        <w:tc>
          <w:tcPr>
            <w:tcW w:w="1627" w:type="dxa"/>
            <w:tcBorders>
              <w:bottom w:val="double" w:sz="4" w:space="0" w:color="5AA2AE"/>
            </w:tcBorders>
          </w:tcPr>
          <w:p w:rsidR="00E436F1" w:rsidRPr="00E436F1" w:rsidRDefault="00E436F1" w:rsidP="00E436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Potential benefits of treatment</w:t>
            </w:r>
          </w:p>
        </w:tc>
        <w:tc>
          <w:tcPr>
            <w:tcW w:w="3784" w:type="dxa"/>
            <w:tcBorders>
              <w:bottom w:val="double" w:sz="4" w:space="0" w:color="5AA2AE"/>
            </w:tcBorders>
          </w:tcPr>
          <w:p w:rsidR="00E436F1" w:rsidRPr="00E436F1" w:rsidRDefault="00E436F1" w:rsidP="00E436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Possible side effects / problems</w:t>
            </w:r>
          </w:p>
        </w:tc>
        <w:tc>
          <w:tcPr>
            <w:tcW w:w="1253" w:type="dxa"/>
            <w:tcBorders>
              <w:bottom w:val="double" w:sz="4" w:space="0" w:color="5AA2AE"/>
            </w:tcBorders>
          </w:tcPr>
          <w:p w:rsidR="00E436F1" w:rsidRPr="00E436F1" w:rsidRDefault="00E436F1" w:rsidP="00E436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When can I start treatment?</w:t>
            </w:r>
          </w:p>
        </w:tc>
        <w:tc>
          <w:tcPr>
            <w:tcW w:w="1635" w:type="dxa"/>
            <w:tcBorders>
              <w:bottom w:val="double" w:sz="4" w:space="0" w:color="5AA2AE"/>
            </w:tcBorders>
          </w:tcPr>
          <w:p w:rsidR="00E436F1" w:rsidRPr="00E436F1" w:rsidRDefault="00E436F1" w:rsidP="00E436F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For how long will I be on the treatment?</w:t>
            </w:r>
          </w:p>
        </w:tc>
      </w:tr>
      <w:tr w:rsidR="002602A7" w:rsidRPr="00E436F1" w:rsidTr="002602A7">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134" w:type="dxa"/>
            <w:tcBorders>
              <w:top w:val="double" w:sz="4" w:space="0" w:color="5AA2AE"/>
              <w:right w:val="double" w:sz="4" w:space="0" w:color="5AA2AE"/>
            </w:tcBorders>
            <w:shd w:val="clear" w:color="auto" w:fill="F7FBFB"/>
          </w:tcPr>
          <w:p w:rsidR="00E436F1" w:rsidRPr="00E436F1" w:rsidRDefault="00E436F1" w:rsidP="00E436F1">
            <w:pPr>
              <w:jc w:val="center"/>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Doxycycline</w:t>
            </w:r>
          </w:p>
        </w:tc>
        <w:tc>
          <w:tcPr>
            <w:tcW w:w="2610" w:type="dxa"/>
            <w:tcBorders>
              <w:top w:val="double" w:sz="4" w:space="0" w:color="5AA2AE"/>
              <w:left w:val="double" w:sz="4" w:space="0" w:color="5AA2AE"/>
            </w:tcBorders>
            <w:shd w:val="clear" w:color="auto" w:fill="F7FBFB"/>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Taking two doxycycline capsule by mouth each morning</w:t>
            </w:r>
          </w:p>
        </w:tc>
        <w:tc>
          <w:tcPr>
            <w:tcW w:w="1991" w:type="dxa"/>
            <w:tcBorders>
              <w:top w:val="double" w:sz="4" w:space="0" w:color="5AA2AE"/>
            </w:tcBorders>
            <w:shd w:val="clear" w:color="auto" w:fill="F7FBFB"/>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Designed for multiple affected regions. Usually the first tablet treatment considered</w:t>
            </w:r>
          </w:p>
        </w:tc>
        <w:tc>
          <w:tcPr>
            <w:tcW w:w="1627" w:type="dxa"/>
            <w:tcBorders>
              <w:top w:val="double" w:sz="4" w:space="0" w:color="5AA2AE"/>
            </w:tcBorders>
            <w:shd w:val="clear" w:color="auto" w:fill="F7FBFB"/>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Reduction in inflammation (pus, pain); no effect on scarring</w:t>
            </w:r>
          </w:p>
        </w:tc>
        <w:tc>
          <w:tcPr>
            <w:tcW w:w="3784" w:type="dxa"/>
            <w:tcBorders>
              <w:top w:val="double" w:sz="4" w:space="0" w:color="5AA2AE"/>
            </w:tcBorders>
            <w:shd w:val="clear" w:color="auto" w:fill="F7FBFB"/>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Stomach upset such as pain and loose motions. A few people may be more sensitive to sunlight</w:t>
            </w:r>
          </w:p>
        </w:tc>
        <w:tc>
          <w:tcPr>
            <w:tcW w:w="1253" w:type="dxa"/>
            <w:tcBorders>
              <w:top w:val="double" w:sz="4" w:space="0" w:color="5AA2AE"/>
            </w:tcBorders>
            <w:shd w:val="clear" w:color="auto" w:fill="F7FBFB"/>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Immediately</w:t>
            </w:r>
          </w:p>
        </w:tc>
        <w:tc>
          <w:tcPr>
            <w:tcW w:w="1635" w:type="dxa"/>
            <w:tcBorders>
              <w:top w:val="double" w:sz="4" w:space="0" w:color="5AA2AE"/>
            </w:tcBorders>
            <w:shd w:val="clear" w:color="auto" w:fill="F7FBFB"/>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6 months</w:t>
            </w:r>
          </w:p>
        </w:tc>
      </w:tr>
      <w:tr w:rsidR="002602A7" w:rsidRPr="00E436F1" w:rsidTr="002602A7">
        <w:trPr>
          <w:trHeight w:val="1414"/>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5AA2AE"/>
            </w:tcBorders>
            <w:shd w:val="clear" w:color="auto" w:fill="E5F3F2"/>
          </w:tcPr>
          <w:p w:rsidR="00E436F1" w:rsidRPr="00E436F1" w:rsidRDefault="00E436F1" w:rsidP="00E436F1">
            <w:pPr>
              <w:jc w:val="center"/>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Clindamycin &amp; Rifampicin</w:t>
            </w:r>
          </w:p>
        </w:tc>
        <w:tc>
          <w:tcPr>
            <w:tcW w:w="2610" w:type="dxa"/>
            <w:tcBorders>
              <w:left w:val="double" w:sz="4" w:space="0" w:color="5AA2AE"/>
            </w:tcBorders>
            <w:shd w:val="clear" w:color="auto" w:fill="E5F3F2"/>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Taking two clindamycin and one rifampicin capsule by mouth each morning and evening.  A blood test is needed before starting treatment and after four weeks.</w:t>
            </w:r>
          </w:p>
        </w:tc>
        <w:tc>
          <w:tcPr>
            <w:tcW w:w="1991" w:type="dxa"/>
            <w:shd w:val="clear" w:color="auto" w:fill="E5F3F2"/>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Designed for multiple affected regions</w:t>
            </w:r>
          </w:p>
        </w:tc>
        <w:tc>
          <w:tcPr>
            <w:tcW w:w="1627" w:type="dxa"/>
            <w:shd w:val="clear" w:color="auto" w:fill="E5F3F2"/>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Reduction in inflammation (pus, pain); no effect on scarring</w:t>
            </w:r>
          </w:p>
        </w:tc>
        <w:tc>
          <w:tcPr>
            <w:tcW w:w="3784" w:type="dxa"/>
            <w:shd w:val="clear" w:color="auto" w:fill="E5F3F2"/>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Orange urine and tears; stomach upset such as pain and diarrhoea; increase in liver blood tests, interference with some hormonal contraception and other medications – your doctor will advise</w:t>
            </w:r>
          </w:p>
        </w:tc>
        <w:tc>
          <w:tcPr>
            <w:tcW w:w="1253" w:type="dxa"/>
            <w:shd w:val="clear" w:color="auto" w:fill="E5F3F2"/>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Immediately</w:t>
            </w:r>
          </w:p>
        </w:tc>
        <w:tc>
          <w:tcPr>
            <w:tcW w:w="1635" w:type="dxa"/>
            <w:shd w:val="clear" w:color="auto" w:fill="E5F3F2"/>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10 weeks initially, with the option to continue or re-start</w:t>
            </w:r>
          </w:p>
        </w:tc>
      </w:tr>
      <w:tr w:rsidR="002602A7" w:rsidRPr="00E436F1" w:rsidTr="002602A7">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5AA2AE"/>
            </w:tcBorders>
            <w:shd w:val="clear" w:color="auto" w:fill="D6E8EA"/>
          </w:tcPr>
          <w:p w:rsidR="00E436F1" w:rsidRPr="00E436F1" w:rsidRDefault="00E436F1" w:rsidP="00E436F1">
            <w:pPr>
              <w:jc w:val="center"/>
              <w:rPr>
                <w:rFonts w:ascii="Calibri" w:eastAsia="Times New Roman" w:hAnsi="Calibri" w:cs="Times New Roman"/>
                <w:color w:val="374C80"/>
                <w:sz w:val="22"/>
                <w:szCs w:val="22"/>
              </w:rPr>
            </w:pPr>
            <w:r w:rsidRPr="00E436F1">
              <w:rPr>
                <w:rFonts w:ascii="Calibri" w:eastAsia="Times New Roman" w:hAnsi="Calibri" w:cs="Times New Roman"/>
                <w:color w:val="374C80"/>
                <w:sz w:val="22"/>
                <w:szCs w:val="22"/>
              </w:rPr>
              <w:t>Laser Treatment</w:t>
            </w:r>
          </w:p>
          <w:p w:rsidR="00E436F1" w:rsidRPr="00E436F1" w:rsidRDefault="00E436F1" w:rsidP="00E436F1">
            <w:pPr>
              <w:rPr>
                <w:rFonts w:ascii="Calibri" w:eastAsia="Times New Roman" w:hAnsi="Calibri" w:cs="Times New Roman"/>
                <w:sz w:val="22"/>
                <w:szCs w:val="22"/>
              </w:rPr>
            </w:pPr>
          </w:p>
          <w:p w:rsidR="00E436F1" w:rsidRPr="00E436F1" w:rsidRDefault="00E436F1" w:rsidP="00E436F1">
            <w:pPr>
              <w:tabs>
                <w:tab w:val="left" w:pos="1230"/>
              </w:tabs>
              <w:rPr>
                <w:rFonts w:ascii="Calibri" w:eastAsia="Times New Roman" w:hAnsi="Calibri" w:cs="Times New Roman"/>
                <w:sz w:val="22"/>
                <w:szCs w:val="22"/>
              </w:rPr>
            </w:pPr>
          </w:p>
        </w:tc>
        <w:tc>
          <w:tcPr>
            <w:tcW w:w="2610" w:type="dxa"/>
            <w:tcBorders>
              <w:left w:val="double" w:sz="4" w:space="0" w:color="5AA2AE"/>
            </w:tcBorders>
            <w:shd w:val="clear" w:color="auto" w:fill="D6E8EA"/>
          </w:tcPr>
          <w:p w:rsidR="00E436F1" w:rsidRPr="002602A7" w:rsidRDefault="00E436F1" w:rsidP="00260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A laser will be passed across affected areas of skin. You will wear protective eyewear during the procedure. Pain relief can be taken before treatment</w:t>
            </w:r>
          </w:p>
        </w:tc>
        <w:tc>
          <w:tcPr>
            <w:tcW w:w="1991" w:type="dxa"/>
            <w:shd w:val="clear" w:color="auto" w:fill="D6E8EA"/>
          </w:tcPr>
          <w:p w:rsidR="00E436F1" w:rsidRPr="002602A7" w:rsidRDefault="00E436F1" w:rsidP="00260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 xml:space="preserve">For one or a few active skin regions. Choice of laser depends on your skin pigmentation </w:t>
            </w:r>
            <w:r w:rsidR="002602A7">
              <w:rPr>
                <w:rFonts w:ascii="Calibri" w:eastAsia="Times New Roman" w:hAnsi="Calibri" w:cs="Times New Roman"/>
                <w:sz w:val="18"/>
                <w:szCs w:val="18"/>
              </w:rPr>
              <w:t>(a suitable laser may not be ava</w:t>
            </w:r>
            <w:r w:rsidRPr="00E436F1">
              <w:rPr>
                <w:rFonts w:ascii="Calibri" w:eastAsia="Times New Roman" w:hAnsi="Calibri" w:cs="Times New Roman"/>
                <w:sz w:val="18"/>
                <w:szCs w:val="18"/>
              </w:rPr>
              <w:t>ilable at your centre)</w:t>
            </w:r>
          </w:p>
        </w:tc>
        <w:tc>
          <w:tcPr>
            <w:tcW w:w="1627" w:type="dxa"/>
            <w:shd w:val="clear" w:color="auto" w:fill="D6E8EA"/>
          </w:tcPr>
          <w:p w:rsidR="00E436F1" w:rsidRPr="002602A7" w:rsidRDefault="00E436F1" w:rsidP="00260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Reduction in inflammation (pus, pain) in the short term and possibly longer</w:t>
            </w:r>
          </w:p>
        </w:tc>
        <w:tc>
          <w:tcPr>
            <w:tcW w:w="3784" w:type="dxa"/>
            <w:shd w:val="clear" w:color="auto" w:fill="D6E8EA"/>
          </w:tcPr>
          <w:p w:rsidR="00E436F1" w:rsidRPr="002602A7" w:rsidRDefault="00E436F1" w:rsidP="00260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Local skin pain during procedure and for a few days afterwards. Permanent change in skin colour (lighter or darker) may occur. There is a small chance of scarring or infection</w:t>
            </w:r>
          </w:p>
        </w:tc>
        <w:tc>
          <w:tcPr>
            <w:tcW w:w="1253" w:type="dxa"/>
            <w:shd w:val="clear" w:color="auto" w:fill="D6E8EA"/>
          </w:tcPr>
          <w:p w:rsidR="00E436F1" w:rsidRPr="002602A7" w:rsidRDefault="00E436F1" w:rsidP="00260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Depends on waiting list at your centre</w:t>
            </w:r>
          </w:p>
        </w:tc>
        <w:tc>
          <w:tcPr>
            <w:tcW w:w="1635" w:type="dxa"/>
            <w:shd w:val="clear" w:color="auto" w:fill="D6E8EA"/>
          </w:tcPr>
          <w:p w:rsidR="00E436F1" w:rsidRPr="002602A7" w:rsidRDefault="00E436F1" w:rsidP="002602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74C80"/>
                <w:sz w:val="18"/>
                <w:szCs w:val="18"/>
              </w:rPr>
            </w:pPr>
            <w:r w:rsidRPr="00E436F1">
              <w:rPr>
                <w:rFonts w:ascii="Calibri" w:eastAsia="Times New Roman" w:hAnsi="Calibri" w:cs="Times New Roman"/>
                <w:sz w:val="18"/>
                <w:szCs w:val="18"/>
              </w:rPr>
              <w:t>At least 4 treatments will be given, each one m</w:t>
            </w:r>
            <w:r w:rsidR="002602A7">
              <w:rPr>
                <w:rFonts w:ascii="Calibri" w:eastAsia="Times New Roman" w:hAnsi="Calibri" w:cs="Times New Roman"/>
                <w:sz w:val="18"/>
                <w:szCs w:val="18"/>
              </w:rPr>
              <w:t>onth apart.</w:t>
            </w:r>
          </w:p>
        </w:tc>
      </w:tr>
      <w:tr w:rsidR="002602A7" w:rsidRPr="00E436F1" w:rsidTr="002602A7">
        <w:trPr>
          <w:trHeight w:val="832"/>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5AA2AE"/>
            </w:tcBorders>
            <w:shd w:val="clear" w:color="auto" w:fill="ADD5DD"/>
          </w:tcPr>
          <w:p w:rsidR="00E436F1" w:rsidRPr="00E436F1" w:rsidRDefault="00E436F1" w:rsidP="00E436F1">
            <w:pPr>
              <w:jc w:val="center"/>
              <w:rPr>
                <w:rFonts w:ascii="Calibri" w:eastAsia="Times New Roman" w:hAnsi="Calibri" w:cs="Times New Roman"/>
                <w:sz w:val="22"/>
                <w:szCs w:val="22"/>
              </w:rPr>
            </w:pPr>
            <w:r w:rsidRPr="00E436F1">
              <w:rPr>
                <w:rFonts w:ascii="Calibri" w:eastAsia="Times New Roman" w:hAnsi="Calibri" w:cs="Times New Roman"/>
                <w:sz w:val="22"/>
                <w:szCs w:val="22"/>
              </w:rPr>
              <w:t>Deroofing</w:t>
            </w:r>
          </w:p>
        </w:tc>
        <w:tc>
          <w:tcPr>
            <w:tcW w:w="2610" w:type="dxa"/>
            <w:tcBorders>
              <w:left w:val="double" w:sz="4" w:space="0" w:color="5AA2AE"/>
            </w:tcBorders>
            <w:shd w:val="clear" w:color="auto" w:fill="ADD5DD"/>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After a pain killing local anaesthetic injection, the roofs of individual skin tunnels are removed, the wound base heals naturally, covered by a dressing</w:t>
            </w:r>
          </w:p>
        </w:tc>
        <w:tc>
          <w:tcPr>
            <w:tcW w:w="1991" w:type="dxa"/>
            <w:shd w:val="clear" w:color="auto" w:fill="ADD5DD"/>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For individual skin tunnels and areas of scarring</w:t>
            </w:r>
          </w:p>
        </w:tc>
        <w:tc>
          <w:tcPr>
            <w:tcW w:w="1627" w:type="dxa"/>
            <w:shd w:val="clear" w:color="auto" w:fill="ADD5DD"/>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Aims to stop discharge of pus from areas of scarring that often flare in the same place</w:t>
            </w:r>
          </w:p>
        </w:tc>
        <w:tc>
          <w:tcPr>
            <w:tcW w:w="3784" w:type="dxa"/>
            <w:shd w:val="clear" w:color="auto" w:fill="ADD5DD"/>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Local skin pain during procedure and for a few days afterwards. Localised scarring, wound infection. Duration of wound healing depends on area of skin removed and can take several weeks with daily dressing changes. New lesions are not prevented</w:t>
            </w:r>
          </w:p>
        </w:tc>
        <w:tc>
          <w:tcPr>
            <w:tcW w:w="1253" w:type="dxa"/>
            <w:shd w:val="clear" w:color="auto" w:fill="ADD5DD"/>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Depends on waiting list at your centre</w:t>
            </w:r>
          </w:p>
        </w:tc>
        <w:tc>
          <w:tcPr>
            <w:tcW w:w="1635" w:type="dxa"/>
            <w:shd w:val="clear" w:color="auto" w:fill="ADD5DD"/>
          </w:tcPr>
          <w:p w:rsidR="00E436F1" w:rsidRPr="00E436F1" w:rsidRDefault="00E436F1" w:rsidP="00E43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Usually one treatment is enough, however deroofing can be performed again</w:t>
            </w:r>
          </w:p>
        </w:tc>
      </w:tr>
      <w:tr w:rsidR="002602A7" w:rsidRPr="00E436F1" w:rsidTr="002602A7">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5AA2AE"/>
            </w:tcBorders>
            <w:shd w:val="clear" w:color="auto" w:fill="A4C7CC"/>
          </w:tcPr>
          <w:p w:rsidR="00E436F1" w:rsidRPr="00E436F1" w:rsidRDefault="00E436F1" w:rsidP="00E436F1">
            <w:pPr>
              <w:jc w:val="center"/>
              <w:rPr>
                <w:rFonts w:ascii="Calibri" w:eastAsia="Times New Roman" w:hAnsi="Calibri" w:cs="Times New Roman"/>
                <w:sz w:val="22"/>
                <w:szCs w:val="22"/>
              </w:rPr>
            </w:pPr>
            <w:r w:rsidRPr="00E436F1">
              <w:rPr>
                <w:rFonts w:ascii="Calibri" w:eastAsia="Times New Roman" w:hAnsi="Calibri" w:cs="Times New Roman"/>
                <w:sz w:val="22"/>
                <w:szCs w:val="22"/>
              </w:rPr>
              <w:t>Surgical excision</w:t>
            </w:r>
          </w:p>
        </w:tc>
        <w:tc>
          <w:tcPr>
            <w:tcW w:w="2610" w:type="dxa"/>
            <w:tcBorders>
              <w:left w:val="double" w:sz="4" w:space="0" w:color="5AA2AE"/>
            </w:tcBorders>
            <w:shd w:val="clear" w:color="auto" w:fill="A4C7CC"/>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 xml:space="preserve">Varies from removal of small areas of skin under local anaesthetic, closed with stitches, to large areas under general anaesthetic,  healed with dressings /skin graft / flap </w:t>
            </w:r>
          </w:p>
        </w:tc>
        <w:tc>
          <w:tcPr>
            <w:tcW w:w="1991" w:type="dxa"/>
            <w:shd w:val="clear" w:color="auto" w:fill="A4C7CC"/>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Usually treats only one skin region at a time to avoid too many skin wounds in one go</w:t>
            </w:r>
          </w:p>
        </w:tc>
        <w:tc>
          <w:tcPr>
            <w:tcW w:w="1627" w:type="dxa"/>
            <w:shd w:val="clear" w:color="auto" w:fill="A4C7CC"/>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 xml:space="preserve">Removal of areas of active disease, scarring and, in some cases, surrounding skin at risk of flaring later  </w:t>
            </w:r>
          </w:p>
        </w:tc>
        <w:tc>
          <w:tcPr>
            <w:tcW w:w="3784" w:type="dxa"/>
            <w:shd w:val="clear" w:color="auto" w:fill="A4C7CC"/>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Local skin pain during procedure and after. Scarring, bleeding, wound infection; rarely nerve damage, problems with general anaesthetic. Duration of wound healing varies and can take several months with daily dressing changes. Skin grafts and flaps may not be successful</w:t>
            </w:r>
          </w:p>
        </w:tc>
        <w:tc>
          <w:tcPr>
            <w:tcW w:w="1253" w:type="dxa"/>
            <w:shd w:val="clear" w:color="auto" w:fill="A4C7CC"/>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Depends on waiting list at your centre</w:t>
            </w:r>
          </w:p>
        </w:tc>
        <w:tc>
          <w:tcPr>
            <w:tcW w:w="1635" w:type="dxa"/>
            <w:shd w:val="clear" w:color="auto" w:fill="A4C7CC"/>
          </w:tcPr>
          <w:p w:rsidR="00E436F1" w:rsidRPr="00E436F1" w:rsidRDefault="00E436F1" w:rsidP="00E43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E436F1">
              <w:rPr>
                <w:rFonts w:ascii="Calibri" w:eastAsia="Times New Roman" w:hAnsi="Calibri" w:cs="Times New Roman"/>
                <w:sz w:val="18"/>
                <w:szCs w:val="18"/>
              </w:rPr>
              <w:t>Small procedures can be repeated, larger ones are allowed to heal before any further surgery</w:t>
            </w:r>
          </w:p>
        </w:tc>
      </w:tr>
    </w:tbl>
    <w:p w:rsidR="001D6D02" w:rsidRDefault="001D6D02" w:rsidP="00BD7635"/>
    <w:sectPr w:rsidR="001D6D02" w:rsidSect="00073C2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0B" w:rsidRDefault="00BD7635">
      <w:pPr>
        <w:spacing w:before="0" w:after="0" w:line="240" w:lineRule="auto"/>
      </w:pPr>
      <w:r>
        <w:separator/>
      </w:r>
    </w:p>
  </w:endnote>
  <w:endnote w:type="continuationSeparator" w:id="0">
    <w:p w:rsidR="00F4760B" w:rsidRDefault="00BD76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0B" w:rsidRDefault="00BD7635">
      <w:pPr>
        <w:spacing w:before="0" w:after="0" w:line="240" w:lineRule="auto"/>
      </w:pPr>
      <w:r>
        <w:separator/>
      </w:r>
    </w:p>
  </w:footnote>
  <w:footnote w:type="continuationSeparator" w:id="0">
    <w:p w:rsidR="00F4760B" w:rsidRDefault="00BD763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99" w:rsidRPr="00BC2D5D" w:rsidRDefault="00AB739A" w:rsidP="00BD763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F1"/>
    <w:rsid w:val="001D6D02"/>
    <w:rsid w:val="002602A7"/>
    <w:rsid w:val="00654F56"/>
    <w:rsid w:val="006F340E"/>
    <w:rsid w:val="00AB739A"/>
    <w:rsid w:val="00BD7635"/>
    <w:rsid w:val="00E436F1"/>
    <w:rsid w:val="00F4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235C-E85D-48EB-8505-F4E900B3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F1"/>
    <w:rPr>
      <w:rFonts w:eastAsiaTheme="minorEastAsia"/>
    </w:rPr>
  </w:style>
  <w:style w:type="paragraph" w:styleId="Heading1">
    <w:name w:val="heading 1"/>
    <w:basedOn w:val="Normal"/>
    <w:next w:val="Normal"/>
    <w:link w:val="Heading1Char"/>
    <w:uiPriority w:val="9"/>
    <w:qFormat/>
    <w:rsid w:val="006F340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F340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F340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6F340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6F340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6F340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6F340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6F340E"/>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6F340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40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F340E"/>
    <w:rPr>
      <w:caps/>
      <w:spacing w:val="15"/>
      <w:shd w:val="clear" w:color="auto" w:fill="DEEAF6" w:themeFill="accent1" w:themeFillTint="33"/>
    </w:rPr>
  </w:style>
  <w:style w:type="character" w:customStyle="1" w:styleId="Heading3Char">
    <w:name w:val="Heading 3 Char"/>
    <w:basedOn w:val="DefaultParagraphFont"/>
    <w:link w:val="Heading3"/>
    <w:uiPriority w:val="9"/>
    <w:rsid w:val="006F340E"/>
    <w:rPr>
      <w:caps/>
      <w:color w:val="1F4D78" w:themeColor="accent1" w:themeShade="7F"/>
      <w:spacing w:val="15"/>
    </w:rPr>
  </w:style>
  <w:style w:type="character" w:customStyle="1" w:styleId="Heading4Char">
    <w:name w:val="Heading 4 Char"/>
    <w:basedOn w:val="DefaultParagraphFont"/>
    <w:link w:val="Heading4"/>
    <w:uiPriority w:val="9"/>
    <w:rsid w:val="006F340E"/>
    <w:rPr>
      <w:caps/>
      <w:color w:val="2E74B5" w:themeColor="accent1" w:themeShade="BF"/>
      <w:spacing w:val="10"/>
    </w:rPr>
  </w:style>
  <w:style w:type="character" w:customStyle="1" w:styleId="Heading5Char">
    <w:name w:val="Heading 5 Char"/>
    <w:basedOn w:val="DefaultParagraphFont"/>
    <w:link w:val="Heading5"/>
    <w:uiPriority w:val="9"/>
    <w:rsid w:val="006F340E"/>
    <w:rPr>
      <w:caps/>
      <w:color w:val="2E74B5" w:themeColor="accent1" w:themeShade="BF"/>
      <w:spacing w:val="10"/>
    </w:rPr>
  </w:style>
  <w:style w:type="character" w:customStyle="1" w:styleId="Heading6Char">
    <w:name w:val="Heading 6 Char"/>
    <w:basedOn w:val="DefaultParagraphFont"/>
    <w:link w:val="Heading6"/>
    <w:uiPriority w:val="9"/>
    <w:rsid w:val="006F340E"/>
    <w:rPr>
      <w:caps/>
      <w:color w:val="2E74B5" w:themeColor="accent1" w:themeShade="BF"/>
      <w:spacing w:val="10"/>
    </w:rPr>
  </w:style>
  <w:style w:type="character" w:customStyle="1" w:styleId="Heading7Char">
    <w:name w:val="Heading 7 Char"/>
    <w:basedOn w:val="DefaultParagraphFont"/>
    <w:link w:val="Heading7"/>
    <w:uiPriority w:val="9"/>
    <w:rsid w:val="006F340E"/>
    <w:rPr>
      <w:caps/>
      <w:color w:val="2E74B5" w:themeColor="accent1" w:themeShade="BF"/>
      <w:spacing w:val="10"/>
    </w:rPr>
  </w:style>
  <w:style w:type="character" w:customStyle="1" w:styleId="Heading8Char">
    <w:name w:val="Heading 8 Char"/>
    <w:basedOn w:val="DefaultParagraphFont"/>
    <w:link w:val="Heading8"/>
    <w:uiPriority w:val="9"/>
    <w:rsid w:val="006F340E"/>
    <w:rPr>
      <w:caps/>
      <w:spacing w:val="10"/>
      <w:sz w:val="18"/>
      <w:szCs w:val="18"/>
    </w:rPr>
  </w:style>
  <w:style w:type="character" w:customStyle="1" w:styleId="Heading9Char">
    <w:name w:val="Heading 9 Char"/>
    <w:basedOn w:val="DefaultParagraphFont"/>
    <w:link w:val="Heading9"/>
    <w:uiPriority w:val="9"/>
    <w:rsid w:val="006F340E"/>
    <w:rPr>
      <w:i/>
      <w:iCs/>
      <w:caps/>
      <w:spacing w:val="10"/>
      <w:sz w:val="18"/>
      <w:szCs w:val="18"/>
    </w:rPr>
  </w:style>
  <w:style w:type="paragraph" w:styleId="Caption">
    <w:name w:val="caption"/>
    <w:basedOn w:val="Normal"/>
    <w:next w:val="Normal"/>
    <w:uiPriority w:val="35"/>
    <w:semiHidden/>
    <w:unhideWhenUsed/>
    <w:qFormat/>
    <w:rsid w:val="006F340E"/>
    <w:rPr>
      <w:b/>
      <w:bCs/>
      <w:color w:val="2E74B5" w:themeColor="accent1" w:themeShade="BF"/>
      <w:sz w:val="16"/>
      <w:szCs w:val="16"/>
    </w:rPr>
  </w:style>
  <w:style w:type="paragraph" w:styleId="Title">
    <w:name w:val="Title"/>
    <w:basedOn w:val="Normal"/>
    <w:next w:val="Normal"/>
    <w:link w:val="TitleChar"/>
    <w:uiPriority w:val="10"/>
    <w:qFormat/>
    <w:rsid w:val="006F340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F340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F340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340E"/>
    <w:rPr>
      <w:caps/>
      <w:color w:val="595959" w:themeColor="text1" w:themeTint="A6"/>
      <w:spacing w:val="10"/>
      <w:sz w:val="21"/>
      <w:szCs w:val="21"/>
    </w:rPr>
  </w:style>
  <w:style w:type="character" w:styleId="Strong">
    <w:name w:val="Strong"/>
    <w:uiPriority w:val="22"/>
    <w:qFormat/>
    <w:rsid w:val="006F340E"/>
    <w:rPr>
      <w:b/>
      <w:bCs/>
    </w:rPr>
  </w:style>
  <w:style w:type="character" w:styleId="Emphasis">
    <w:name w:val="Emphasis"/>
    <w:uiPriority w:val="20"/>
    <w:qFormat/>
    <w:rsid w:val="006F340E"/>
    <w:rPr>
      <w:caps/>
      <w:color w:val="1F4D78" w:themeColor="accent1" w:themeShade="7F"/>
      <w:spacing w:val="5"/>
    </w:rPr>
  </w:style>
  <w:style w:type="paragraph" w:styleId="NoSpacing">
    <w:name w:val="No Spacing"/>
    <w:uiPriority w:val="1"/>
    <w:qFormat/>
    <w:rsid w:val="006F340E"/>
    <w:pPr>
      <w:spacing w:after="0" w:line="240" w:lineRule="auto"/>
    </w:pPr>
  </w:style>
  <w:style w:type="paragraph" w:styleId="ListParagraph">
    <w:name w:val="List Paragraph"/>
    <w:basedOn w:val="Normal"/>
    <w:uiPriority w:val="34"/>
    <w:qFormat/>
    <w:rsid w:val="006F340E"/>
    <w:pPr>
      <w:ind w:left="720"/>
      <w:contextualSpacing/>
    </w:pPr>
  </w:style>
  <w:style w:type="paragraph" w:styleId="Quote">
    <w:name w:val="Quote"/>
    <w:basedOn w:val="Normal"/>
    <w:next w:val="Normal"/>
    <w:link w:val="QuoteChar"/>
    <w:uiPriority w:val="29"/>
    <w:qFormat/>
    <w:rsid w:val="006F340E"/>
    <w:rPr>
      <w:i/>
      <w:iCs/>
      <w:sz w:val="24"/>
      <w:szCs w:val="24"/>
    </w:rPr>
  </w:style>
  <w:style w:type="character" w:customStyle="1" w:styleId="QuoteChar">
    <w:name w:val="Quote Char"/>
    <w:basedOn w:val="DefaultParagraphFont"/>
    <w:link w:val="Quote"/>
    <w:uiPriority w:val="29"/>
    <w:rsid w:val="006F340E"/>
    <w:rPr>
      <w:i/>
      <w:iCs/>
      <w:sz w:val="24"/>
      <w:szCs w:val="24"/>
    </w:rPr>
  </w:style>
  <w:style w:type="paragraph" w:styleId="IntenseQuote">
    <w:name w:val="Intense Quote"/>
    <w:basedOn w:val="Normal"/>
    <w:next w:val="Normal"/>
    <w:link w:val="IntenseQuoteChar"/>
    <w:uiPriority w:val="30"/>
    <w:qFormat/>
    <w:rsid w:val="006F340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F340E"/>
    <w:rPr>
      <w:color w:val="5B9BD5" w:themeColor="accent1"/>
      <w:sz w:val="24"/>
      <w:szCs w:val="24"/>
    </w:rPr>
  </w:style>
  <w:style w:type="character" w:styleId="SubtleEmphasis">
    <w:name w:val="Subtle Emphasis"/>
    <w:uiPriority w:val="19"/>
    <w:qFormat/>
    <w:rsid w:val="006F340E"/>
    <w:rPr>
      <w:i/>
      <w:iCs/>
      <w:color w:val="1F4D78" w:themeColor="accent1" w:themeShade="7F"/>
    </w:rPr>
  </w:style>
  <w:style w:type="character" w:styleId="IntenseEmphasis">
    <w:name w:val="Intense Emphasis"/>
    <w:uiPriority w:val="21"/>
    <w:qFormat/>
    <w:rsid w:val="006F340E"/>
    <w:rPr>
      <w:b/>
      <w:bCs/>
      <w:caps/>
      <w:color w:val="1F4D78" w:themeColor="accent1" w:themeShade="7F"/>
      <w:spacing w:val="10"/>
    </w:rPr>
  </w:style>
  <w:style w:type="character" w:styleId="SubtleReference">
    <w:name w:val="Subtle Reference"/>
    <w:uiPriority w:val="31"/>
    <w:qFormat/>
    <w:rsid w:val="006F340E"/>
    <w:rPr>
      <w:b/>
      <w:bCs/>
      <w:color w:val="5B9BD5" w:themeColor="accent1"/>
    </w:rPr>
  </w:style>
  <w:style w:type="character" w:styleId="IntenseReference">
    <w:name w:val="Intense Reference"/>
    <w:uiPriority w:val="32"/>
    <w:qFormat/>
    <w:rsid w:val="006F340E"/>
    <w:rPr>
      <w:b/>
      <w:bCs/>
      <w:i/>
      <w:iCs/>
      <w:caps/>
      <w:color w:val="5B9BD5" w:themeColor="accent1"/>
    </w:rPr>
  </w:style>
  <w:style w:type="character" w:styleId="BookTitle">
    <w:name w:val="Book Title"/>
    <w:uiPriority w:val="33"/>
    <w:qFormat/>
    <w:rsid w:val="006F340E"/>
    <w:rPr>
      <w:b/>
      <w:bCs/>
      <w:i/>
      <w:iCs/>
      <w:spacing w:val="0"/>
    </w:rPr>
  </w:style>
  <w:style w:type="paragraph" w:styleId="TOCHeading">
    <w:name w:val="TOC Heading"/>
    <w:basedOn w:val="Heading1"/>
    <w:next w:val="Normal"/>
    <w:uiPriority w:val="39"/>
    <w:semiHidden/>
    <w:unhideWhenUsed/>
    <w:qFormat/>
    <w:rsid w:val="006F340E"/>
    <w:pPr>
      <w:outlineLvl w:val="9"/>
    </w:pPr>
  </w:style>
  <w:style w:type="paragraph" w:styleId="Header">
    <w:name w:val="header"/>
    <w:basedOn w:val="Normal"/>
    <w:link w:val="HeaderChar"/>
    <w:uiPriority w:val="99"/>
    <w:unhideWhenUsed/>
    <w:rsid w:val="00E436F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36F1"/>
    <w:rPr>
      <w:rFonts w:eastAsiaTheme="minorEastAsia"/>
    </w:rPr>
  </w:style>
  <w:style w:type="table" w:customStyle="1" w:styleId="GridTable2-Accent51">
    <w:name w:val="Grid Table 2 - Accent 51"/>
    <w:basedOn w:val="TableNormal"/>
    <w:uiPriority w:val="47"/>
    <w:rsid w:val="00E436F1"/>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er">
    <w:name w:val="footer"/>
    <w:basedOn w:val="Normal"/>
    <w:link w:val="FooterChar"/>
    <w:uiPriority w:val="99"/>
    <w:unhideWhenUsed/>
    <w:rsid w:val="00BD76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76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Euden</dc:creator>
  <cp:keywords/>
  <dc:description/>
  <cp:lastModifiedBy>Janine Bates</cp:lastModifiedBy>
  <cp:revision>2</cp:revision>
  <dcterms:created xsi:type="dcterms:W3CDTF">2019-10-04T15:53:00Z</dcterms:created>
  <dcterms:modified xsi:type="dcterms:W3CDTF">2019-10-04T15:53:00Z</dcterms:modified>
</cp:coreProperties>
</file>