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F1" w:rsidRPr="008F11C7" w:rsidRDefault="00E436F1" w:rsidP="00E436F1">
      <w:pPr>
        <w:pStyle w:val="Heading2"/>
        <w:tabs>
          <w:tab w:val="center" w:pos="6979"/>
          <w:tab w:val="right" w:pos="13958"/>
        </w:tabs>
        <w:rPr>
          <w:sz w:val="28"/>
          <w:szCs w:val="28"/>
        </w:rPr>
      </w:pPr>
      <w:bookmarkStart w:id="0" w:name="_GoBack"/>
      <w:bookmarkEnd w:id="0"/>
      <w:r>
        <w:rPr>
          <w:sz w:val="28"/>
          <w:szCs w:val="28"/>
        </w:rPr>
        <w:tab/>
      </w:r>
      <w:r w:rsidRPr="008F11C7">
        <w:rPr>
          <w:sz w:val="28"/>
          <w:szCs w:val="28"/>
        </w:rPr>
        <w:t>Decision grid for THESEUS Study</w:t>
      </w:r>
      <w:r>
        <w:rPr>
          <w:sz w:val="28"/>
          <w:szCs w:val="28"/>
        </w:rPr>
        <w:tab/>
      </w:r>
    </w:p>
    <w:tbl>
      <w:tblPr>
        <w:tblStyle w:val="GridTable2-Accent51"/>
        <w:tblpPr w:leftFromText="180" w:rightFromText="180" w:vertAnchor="page" w:horzAnchor="margin" w:tblpXSpec="center" w:tblpY="2217"/>
        <w:tblW w:w="14034" w:type="dxa"/>
        <w:tblLook w:val="04A0" w:firstRow="1" w:lastRow="0" w:firstColumn="1" w:lastColumn="0" w:noHBand="0" w:noVBand="1"/>
      </w:tblPr>
      <w:tblGrid>
        <w:gridCol w:w="1333"/>
        <w:gridCol w:w="2557"/>
        <w:gridCol w:w="1963"/>
        <w:gridCol w:w="1612"/>
        <w:gridCol w:w="3694"/>
        <w:gridCol w:w="1253"/>
        <w:gridCol w:w="1622"/>
      </w:tblGrid>
      <w:tr w:rsidR="00E436F1" w:rsidRPr="00E436F1" w:rsidTr="002602A7">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134" w:type="dxa"/>
            <w:tcBorders>
              <w:bottom w:val="double" w:sz="4" w:space="0" w:color="5AA2AE"/>
              <w:right w:val="double" w:sz="4" w:space="0" w:color="5AA2AE"/>
            </w:tcBorders>
          </w:tcPr>
          <w:p w:rsidR="00E436F1" w:rsidRPr="00E436F1" w:rsidRDefault="00E436F1" w:rsidP="00E436F1">
            <w:pPr>
              <w:rPr>
                <w:rFonts w:ascii="Calibri" w:eastAsia="Times New Roman" w:hAnsi="Calibri" w:cs="Times New Roman"/>
                <w:color w:val="374C80"/>
                <w:sz w:val="18"/>
                <w:szCs w:val="18"/>
              </w:rPr>
            </w:pPr>
          </w:p>
        </w:tc>
        <w:tc>
          <w:tcPr>
            <w:tcW w:w="2610" w:type="dxa"/>
            <w:tcBorders>
              <w:left w:val="double" w:sz="4" w:space="0" w:color="5AA2AE"/>
              <w:bottom w:val="double" w:sz="4" w:space="0" w:color="5AA2AE"/>
            </w:tcBorders>
          </w:tcPr>
          <w:p w:rsidR="00E436F1" w:rsidRPr="00E436F1" w:rsidRDefault="00E436F1" w:rsidP="00E436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4C80"/>
                <w:sz w:val="22"/>
                <w:szCs w:val="22"/>
              </w:rPr>
            </w:pPr>
            <w:r w:rsidRPr="00E436F1">
              <w:rPr>
                <w:rFonts w:ascii="Calibri" w:eastAsia="Times New Roman" w:hAnsi="Calibri" w:cs="Times New Roman"/>
                <w:color w:val="374C80"/>
                <w:sz w:val="22"/>
                <w:szCs w:val="22"/>
              </w:rPr>
              <w:t>What does it involve?</w:t>
            </w:r>
          </w:p>
        </w:tc>
        <w:tc>
          <w:tcPr>
            <w:tcW w:w="1991" w:type="dxa"/>
            <w:tcBorders>
              <w:bottom w:val="double" w:sz="4" w:space="0" w:color="5AA2AE"/>
            </w:tcBorders>
          </w:tcPr>
          <w:p w:rsidR="00E436F1" w:rsidRPr="00E436F1" w:rsidRDefault="00E436F1" w:rsidP="00E436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4C80"/>
                <w:sz w:val="22"/>
                <w:szCs w:val="22"/>
              </w:rPr>
            </w:pPr>
            <w:r w:rsidRPr="00E436F1">
              <w:rPr>
                <w:rFonts w:ascii="Calibri" w:eastAsia="Times New Roman" w:hAnsi="Calibri" w:cs="Times New Roman"/>
                <w:color w:val="374C80"/>
                <w:sz w:val="22"/>
                <w:szCs w:val="22"/>
              </w:rPr>
              <w:t>Is the treatment suitable for me?</w:t>
            </w:r>
          </w:p>
        </w:tc>
        <w:tc>
          <w:tcPr>
            <w:tcW w:w="1627" w:type="dxa"/>
            <w:tcBorders>
              <w:bottom w:val="double" w:sz="4" w:space="0" w:color="5AA2AE"/>
            </w:tcBorders>
          </w:tcPr>
          <w:p w:rsidR="00E436F1" w:rsidRPr="00E436F1" w:rsidRDefault="00E436F1" w:rsidP="00E436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4C80"/>
                <w:sz w:val="22"/>
                <w:szCs w:val="22"/>
              </w:rPr>
            </w:pPr>
            <w:r w:rsidRPr="00E436F1">
              <w:rPr>
                <w:rFonts w:ascii="Calibri" w:eastAsia="Times New Roman" w:hAnsi="Calibri" w:cs="Times New Roman"/>
                <w:color w:val="374C80"/>
                <w:sz w:val="22"/>
                <w:szCs w:val="22"/>
              </w:rPr>
              <w:t>Potential benefits of treatment</w:t>
            </w:r>
          </w:p>
        </w:tc>
        <w:tc>
          <w:tcPr>
            <w:tcW w:w="3784" w:type="dxa"/>
            <w:tcBorders>
              <w:bottom w:val="double" w:sz="4" w:space="0" w:color="5AA2AE"/>
            </w:tcBorders>
          </w:tcPr>
          <w:p w:rsidR="00E436F1" w:rsidRPr="00E436F1" w:rsidRDefault="00E436F1" w:rsidP="00E436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4C80"/>
                <w:sz w:val="22"/>
                <w:szCs w:val="22"/>
              </w:rPr>
            </w:pPr>
            <w:r w:rsidRPr="00E436F1">
              <w:rPr>
                <w:rFonts w:ascii="Calibri" w:eastAsia="Times New Roman" w:hAnsi="Calibri" w:cs="Times New Roman"/>
                <w:color w:val="374C80"/>
                <w:sz w:val="22"/>
                <w:szCs w:val="22"/>
              </w:rPr>
              <w:t>Possible side effects / problems</w:t>
            </w:r>
          </w:p>
        </w:tc>
        <w:tc>
          <w:tcPr>
            <w:tcW w:w="1253" w:type="dxa"/>
            <w:tcBorders>
              <w:bottom w:val="double" w:sz="4" w:space="0" w:color="5AA2AE"/>
            </w:tcBorders>
          </w:tcPr>
          <w:p w:rsidR="00E436F1" w:rsidRPr="00E436F1" w:rsidRDefault="00E436F1" w:rsidP="00E436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4C80"/>
                <w:sz w:val="22"/>
                <w:szCs w:val="22"/>
              </w:rPr>
            </w:pPr>
            <w:r w:rsidRPr="00E436F1">
              <w:rPr>
                <w:rFonts w:ascii="Calibri" w:eastAsia="Times New Roman" w:hAnsi="Calibri" w:cs="Times New Roman"/>
                <w:color w:val="374C80"/>
                <w:sz w:val="22"/>
                <w:szCs w:val="22"/>
              </w:rPr>
              <w:t>When can I start treatment?</w:t>
            </w:r>
          </w:p>
        </w:tc>
        <w:tc>
          <w:tcPr>
            <w:tcW w:w="1635" w:type="dxa"/>
            <w:tcBorders>
              <w:bottom w:val="double" w:sz="4" w:space="0" w:color="5AA2AE"/>
            </w:tcBorders>
          </w:tcPr>
          <w:p w:rsidR="00E436F1" w:rsidRPr="00E436F1" w:rsidRDefault="00E436F1" w:rsidP="00E436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4C80"/>
                <w:sz w:val="22"/>
                <w:szCs w:val="22"/>
              </w:rPr>
            </w:pPr>
            <w:r w:rsidRPr="00E436F1">
              <w:rPr>
                <w:rFonts w:ascii="Calibri" w:eastAsia="Times New Roman" w:hAnsi="Calibri" w:cs="Times New Roman"/>
                <w:color w:val="374C80"/>
                <w:sz w:val="22"/>
                <w:szCs w:val="22"/>
              </w:rPr>
              <w:t>For how long will I be on the treatment?</w:t>
            </w:r>
          </w:p>
        </w:tc>
      </w:tr>
      <w:tr w:rsidR="002602A7" w:rsidRPr="00E436F1" w:rsidTr="002602A7">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134" w:type="dxa"/>
            <w:tcBorders>
              <w:top w:val="double" w:sz="4" w:space="0" w:color="5AA2AE"/>
              <w:right w:val="double" w:sz="4" w:space="0" w:color="5AA2AE"/>
            </w:tcBorders>
            <w:shd w:val="clear" w:color="auto" w:fill="F7FBFB"/>
          </w:tcPr>
          <w:p w:rsidR="00E436F1" w:rsidRPr="00E436F1" w:rsidRDefault="00E436F1" w:rsidP="00E436F1">
            <w:pPr>
              <w:jc w:val="center"/>
              <w:rPr>
                <w:rFonts w:ascii="Calibri" w:eastAsia="Times New Roman" w:hAnsi="Calibri" w:cs="Times New Roman"/>
                <w:color w:val="374C80"/>
                <w:sz w:val="22"/>
                <w:szCs w:val="22"/>
              </w:rPr>
            </w:pPr>
            <w:r w:rsidRPr="00E436F1">
              <w:rPr>
                <w:rFonts w:ascii="Calibri" w:eastAsia="Times New Roman" w:hAnsi="Calibri" w:cs="Times New Roman"/>
                <w:color w:val="374C80"/>
                <w:sz w:val="22"/>
                <w:szCs w:val="22"/>
              </w:rPr>
              <w:t>Doxycycline</w:t>
            </w:r>
          </w:p>
        </w:tc>
        <w:tc>
          <w:tcPr>
            <w:tcW w:w="2610" w:type="dxa"/>
            <w:tcBorders>
              <w:top w:val="double" w:sz="4" w:space="0" w:color="5AA2AE"/>
              <w:left w:val="double" w:sz="4" w:space="0" w:color="5AA2AE"/>
            </w:tcBorders>
            <w:shd w:val="clear" w:color="auto" w:fill="F7FBFB"/>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Taking two doxycycline capsule by mouth each morning</w:t>
            </w:r>
          </w:p>
        </w:tc>
        <w:tc>
          <w:tcPr>
            <w:tcW w:w="1991" w:type="dxa"/>
            <w:tcBorders>
              <w:top w:val="double" w:sz="4" w:space="0" w:color="5AA2AE"/>
            </w:tcBorders>
            <w:shd w:val="clear" w:color="auto" w:fill="F7FBFB"/>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Designed for multiple affected regions. Usually the first tablet treatment considered</w:t>
            </w:r>
          </w:p>
        </w:tc>
        <w:tc>
          <w:tcPr>
            <w:tcW w:w="1627" w:type="dxa"/>
            <w:tcBorders>
              <w:top w:val="double" w:sz="4" w:space="0" w:color="5AA2AE"/>
            </w:tcBorders>
            <w:shd w:val="clear" w:color="auto" w:fill="F7FBFB"/>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Reduction in inflammation (pus, pain); no effect on scarring</w:t>
            </w:r>
          </w:p>
        </w:tc>
        <w:tc>
          <w:tcPr>
            <w:tcW w:w="3784" w:type="dxa"/>
            <w:tcBorders>
              <w:top w:val="double" w:sz="4" w:space="0" w:color="5AA2AE"/>
            </w:tcBorders>
            <w:shd w:val="clear" w:color="auto" w:fill="F7FBFB"/>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Stomach upset such as pain and loose motions. A few people may be more sensitive to sunlight</w:t>
            </w:r>
          </w:p>
        </w:tc>
        <w:tc>
          <w:tcPr>
            <w:tcW w:w="1253" w:type="dxa"/>
            <w:tcBorders>
              <w:top w:val="double" w:sz="4" w:space="0" w:color="5AA2AE"/>
            </w:tcBorders>
            <w:shd w:val="clear" w:color="auto" w:fill="F7FBFB"/>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Immediately</w:t>
            </w:r>
          </w:p>
        </w:tc>
        <w:tc>
          <w:tcPr>
            <w:tcW w:w="1635" w:type="dxa"/>
            <w:tcBorders>
              <w:top w:val="double" w:sz="4" w:space="0" w:color="5AA2AE"/>
            </w:tcBorders>
            <w:shd w:val="clear" w:color="auto" w:fill="F7FBFB"/>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6 months</w:t>
            </w:r>
          </w:p>
        </w:tc>
      </w:tr>
      <w:tr w:rsidR="002602A7" w:rsidRPr="00E436F1" w:rsidTr="002602A7">
        <w:trPr>
          <w:trHeight w:val="1414"/>
        </w:trPr>
        <w:tc>
          <w:tcPr>
            <w:cnfStyle w:val="001000000000" w:firstRow="0" w:lastRow="0" w:firstColumn="1" w:lastColumn="0" w:oddVBand="0" w:evenVBand="0" w:oddHBand="0" w:evenHBand="0" w:firstRowFirstColumn="0" w:firstRowLastColumn="0" w:lastRowFirstColumn="0" w:lastRowLastColumn="0"/>
            <w:tcW w:w="1134" w:type="dxa"/>
            <w:tcBorders>
              <w:right w:val="double" w:sz="4" w:space="0" w:color="5AA2AE"/>
            </w:tcBorders>
            <w:shd w:val="clear" w:color="auto" w:fill="E5F3F2"/>
          </w:tcPr>
          <w:p w:rsidR="00E436F1" w:rsidRPr="00E436F1" w:rsidRDefault="00E436F1" w:rsidP="00E436F1">
            <w:pPr>
              <w:jc w:val="center"/>
              <w:rPr>
                <w:rFonts w:ascii="Calibri" w:eastAsia="Times New Roman" w:hAnsi="Calibri" w:cs="Times New Roman"/>
                <w:color w:val="374C80"/>
                <w:sz w:val="22"/>
                <w:szCs w:val="22"/>
              </w:rPr>
            </w:pPr>
            <w:r w:rsidRPr="00E436F1">
              <w:rPr>
                <w:rFonts w:ascii="Calibri" w:eastAsia="Times New Roman" w:hAnsi="Calibri" w:cs="Times New Roman"/>
                <w:color w:val="374C80"/>
                <w:sz w:val="22"/>
                <w:szCs w:val="22"/>
              </w:rPr>
              <w:t>Clindamycin &amp; Rifampicin</w:t>
            </w:r>
          </w:p>
        </w:tc>
        <w:tc>
          <w:tcPr>
            <w:tcW w:w="2610" w:type="dxa"/>
            <w:tcBorders>
              <w:left w:val="double" w:sz="4" w:space="0" w:color="5AA2AE"/>
            </w:tcBorders>
            <w:shd w:val="clear" w:color="auto" w:fill="E5F3F2"/>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74C80"/>
                <w:sz w:val="18"/>
                <w:szCs w:val="18"/>
              </w:rPr>
            </w:pPr>
            <w:r w:rsidRPr="00E436F1">
              <w:rPr>
                <w:rFonts w:ascii="Calibri" w:eastAsia="Times New Roman" w:hAnsi="Calibri" w:cs="Times New Roman"/>
                <w:sz w:val="18"/>
                <w:szCs w:val="18"/>
              </w:rPr>
              <w:t>Taking two clindamycin and one rifampicin capsule by mouth each morning and evening.  A blood test is needed before starting treatment and after four weeks.</w:t>
            </w:r>
          </w:p>
        </w:tc>
        <w:tc>
          <w:tcPr>
            <w:tcW w:w="1991" w:type="dxa"/>
            <w:shd w:val="clear" w:color="auto" w:fill="E5F3F2"/>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74C80"/>
                <w:sz w:val="18"/>
                <w:szCs w:val="18"/>
              </w:rPr>
            </w:pPr>
            <w:r w:rsidRPr="00E436F1">
              <w:rPr>
                <w:rFonts w:ascii="Calibri" w:eastAsia="Times New Roman" w:hAnsi="Calibri" w:cs="Times New Roman"/>
                <w:sz w:val="18"/>
                <w:szCs w:val="18"/>
              </w:rPr>
              <w:t>Designed for multiple affected regions</w:t>
            </w:r>
          </w:p>
        </w:tc>
        <w:tc>
          <w:tcPr>
            <w:tcW w:w="1627" w:type="dxa"/>
            <w:shd w:val="clear" w:color="auto" w:fill="E5F3F2"/>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Reduction in inflammation (pus, pain); no effect on scarring</w:t>
            </w:r>
          </w:p>
        </w:tc>
        <w:tc>
          <w:tcPr>
            <w:tcW w:w="3784" w:type="dxa"/>
            <w:shd w:val="clear" w:color="auto" w:fill="E5F3F2"/>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74C80"/>
                <w:sz w:val="18"/>
                <w:szCs w:val="18"/>
              </w:rPr>
            </w:pPr>
            <w:r w:rsidRPr="00E436F1">
              <w:rPr>
                <w:rFonts w:ascii="Calibri" w:eastAsia="Times New Roman" w:hAnsi="Calibri" w:cs="Times New Roman"/>
                <w:sz w:val="18"/>
                <w:szCs w:val="18"/>
              </w:rPr>
              <w:t>Orange urine and tears; stomach upset such as pain and diarrhoea; increase in liver blood tests, interference with some hormonal contraception and other medications – your doctor will advise</w:t>
            </w:r>
          </w:p>
        </w:tc>
        <w:tc>
          <w:tcPr>
            <w:tcW w:w="1253" w:type="dxa"/>
            <w:shd w:val="clear" w:color="auto" w:fill="E5F3F2"/>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Immediately</w:t>
            </w:r>
          </w:p>
        </w:tc>
        <w:tc>
          <w:tcPr>
            <w:tcW w:w="1635" w:type="dxa"/>
            <w:shd w:val="clear" w:color="auto" w:fill="E5F3F2"/>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74C80"/>
                <w:sz w:val="18"/>
                <w:szCs w:val="18"/>
              </w:rPr>
            </w:pPr>
            <w:r w:rsidRPr="00E436F1">
              <w:rPr>
                <w:rFonts w:ascii="Calibri" w:eastAsia="Times New Roman" w:hAnsi="Calibri" w:cs="Times New Roman"/>
                <w:sz w:val="18"/>
                <w:szCs w:val="18"/>
              </w:rPr>
              <w:t>10 weeks initially, with the option to continue or re-start</w:t>
            </w:r>
          </w:p>
        </w:tc>
      </w:tr>
      <w:tr w:rsidR="002602A7" w:rsidRPr="00E436F1" w:rsidTr="002602A7">
        <w:trPr>
          <w:cnfStyle w:val="000000100000" w:firstRow="0" w:lastRow="0" w:firstColumn="0" w:lastColumn="0" w:oddVBand="0" w:evenVBand="0" w:oddHBand="1" w:evenHBand="0" w:firstRowFirstColumn="0" w:firstRowLastColumn="0" w:lastRowFirstColumn="0" w:lastRowLastColumn="0"/>
          <w:trHeight w:val="1476"/>
        </w:trPr>
        <w:tc>
          <w:tcPr>
            <w:cnfStyle w:val="001000000000" w:firstRow="0" w:lastRow="0" w:firstColumn="1" w:lastColumn="0" w:oddVBand="0" w:evenVBand="0" w:oddHBand="0" w:evenHBand="0" w:firstRowFirstColumn="0" w:firstRowLastColumn="0" w:lastRowFirstColumn="0" w:lastRowLastColumn="0"/>
            <w:tcW w:w="1134" w:type="dxa"/>
            <w:tcBorders>
              <w:right w:val="double" w:sz="4" w:space="0" w:color="5AA2AE"/>
            </w:tcBorders>
            <w:shd w:val="clear" w:color="auto" w:fill="D6E8EA"/>
          </w:tcPr>
          <w:p w:rsidR="00E436F1" w:rsidRPr="00E436F1" w:rsidRDefault="00E436F1" w:rsidP="00E436F1">
            <w:pPr>
              <w:jc w:val="center"/>
              <w:rPr>
                <w:rFonts w:ascii="Calibri" w:eastAsia="Times New Roman" w:hAnsi="Calibri" w:cs="Times New Roman"/>
                <w:color w:val="374C80"/>
                <w:sz w:val="22"/>
                <w:szCs w:val="22"/>
              </w:rPr>
            </w:pPr>
            <w:r w:rsidRPr="00E436F1">
              <w:rPr>
                <w:rFonts w:ascii="Calibri" w:eastAsia="Times New Roman" w:hAnsi="Calibri" w:cs="Times New Roman"/>
                <w:color w:val="374C80"/>
                <w:sz w:val="22"/>
                <w:szCs w:val="22"/>
              </w:rPr>
              <w:t>Laser Treatment</w:t>
            </w:r>
          </w:p>
          <w:p w:rsidR="00E436F1" w:rsidRPr="00E436F1" w:rsidRDefault="00E436F1" w:rsidP="00E436F1">
            <w:pPr>
              <w:rPr>
                <w:rFonts w:ascii="Calibri" w:eastAsia="Times New Roman" w:hAnsi="Calibri" w:cs="Times New Roman"/>
                <w:sz w:val="22"/>
                <w:szCs w:val="22"/>
              </w:rPr>
            </w:pPr>
          </w:p>
          <w:p w:rsidR="00E436F1" w:rsidRPr="00E436F1" w:rsidRDefault="00E436F1" w:rsidP="00E436F1">
            <w:pPr>
              <w:tabs>
                <w:tab w:val="left" w:pos="1230"/>
              </w:tabs>
              <w:rPr>
                <w:rFonts w:ascii="Calibri" w:eastAsia="Times New Roman" w:hAnsi="Calibri" w:cs="Times New Roman"/>
                <w:sz w:val="22"/>
                <w:szCs w:val="22"/>
              </w:rPr>
            </w:pPr>
          </w:p>
        </w:tc>
        <w:tc>
          <w:tcPr>
            <w:tcW w:w="2610" w:type="dxa"/>
            <w:tcBorders>
              <w:left w:val="double" w:sz="4" w:space="0" w:color="5AA2AE"/>
            </w:tcBorders>
            <w:shd w:val="clear" w:color="auto" w:fill="D6E8EA"/>
          </w:tcPr>
          <w:p w:rsidR="00E436F1" w:rsidRPr="002602A7" w:rsidRDefault="00E436F1" w:rsidP="002602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74C80"/>
                <w:sz w:val="18"/>
                <w:szCs w:val="18"/>
              </w:rPr>
            </w:pPr>
            <w:r w:rsidRPr="00E436F1">
              <w:rPr>
                <w:rFonts w:ascii="Calibri" w:eastAsia="Times New Roman" w:hAnsi="Calibri" w:cs="Times New Roman"/>
                <w:sz w:val="18"/>
                <w:szCs w:val="18"/>
              </w:rPr>
              <w:t>A laser will be passed across affected areas of skin. You will wear protective eyewear during the procedure. Pain relief can be taken before treatment</w:t>
            </w:r>
          </w:p>
        </w:tc>
        <w:tc>
          <w:tcPr>
            <w:tcW w:w="1991" w:type="dxa"/>
            <w:shd w:val="clear" w:color="auto" w:fill="D6E8EA"/>
          </w:tcPr>
          <w:p w:rsidR="00E436F1" w:rsidRPr="002602A7" w:rsidRDefault="00E436F1" w:rsidP="002602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74C80"/>
                <w:sz w:val="18"/>
                <w:szCs w:val="18"/>
              </w:rPr>
            </w:pPr>
            <w:r w:rsidRPr="00E436F1">
              <w:rPr>
                <w:rFonts w:ascii="Calibri" w:eastAsia="Times New Roman" w:hAnsi="Calibri" w:cs="Times New Roman"/>
                <w:sz w:val="18"/>
                <w:szCs w:val="18"/>
              </w:rPr>
              <w:t xml:space="preserve">For one or a few active skin regions. Choice of laser depends on your skin pigmentation </w:t>
            </w:r>
            <w:r w:rsidR="002602A7">
              <w:rPr>
                <w:rFonts w:ascii="Calibri" w:eastAsia="Times New Roman" w:hAnsi="Calibri" w:cs="Times New Roman"/>
                <w:sz w:val="18"/>
                <w:szCs w:val="18"/>
              </w:rPr>
              <w:t>(a suitable laser may not be ava</w:t>
            </w:r>
            <w:r w:rsidRPr="00E436F1">
              <w:rPr>
                <w:rFonts w:ascii="Calibri" w:eastAsia="Times New Roman" w:hAnsi="Calibri" w:cs="Times New Roman"/>
                <w:sz w:val="18"/>
                <w:szCs w:val="18"/>
              </w:rPr>
              <w:t>ilable at your centre)</w:t>
            </w:r>
          </w:p>
        </w:tc>
        <w:tc>
          <w:tcPr>
            <w:tcW w:w="1627" w:type="dxa"/>
            <w:shd w:val="clear" w:color="auto" w:fill="D6E8EA"/>
          </w:tcPr>
          <w:p w:rsidR="00E436F1" w:rsidRPr="002602A7" w:rsidRDefault="00E436F1" w:rsidP="002602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74C80"/>
                <w:sz w:val="18"/>
                <w:szCs w:val="18"/>
              </w:rPr>
            </w:pPr>
            <w:r w:rsidRPr="00E436F1">
              <w:rPr>
                <w:rFonts w:ascii="Calibri" w:eastAsia="Times New Roman" w:hAnsi="Calibri" w:cs="Times New Roman"/>
                <w:sz w:val="18"/>
                <w:szCs w:val="18"/>
              </w:rPr>
              <w:t>Reduction in inflammation (pus, pain) in the short term and possibly longer</w:t>
            </w:r>
          </w:p>
        </w:tc>
        <w:tc>
          <w:tcPr>
            <w:tcW w:w="3784" w:type="dxa"/>
            <w:shd w:val="clear" w:color="auto" w:fill="D6E8EA"/>
          </w:tcPr>
          <w:p w:rsidR="00E436F1" w:rsidRPr="002602A7" w:rsidRDefault="00E436F1" w:rsidP="002602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74C80"/>
                <w:sz w:val="18"/>
                <w:szCs w:val="18"/>
              </w:rPr>
            </w:pPr>
            <w:r w:rsidRPr="00E436F1">
              <w:rPr>
                <w:rFonts w:ascii="Calibri" w:eastAsia="Times New Roman" w:hAnsi="Calibri" w:cs="Times New Roman"/>
                <w:sz w:val="18"/>
                <w:szCs w:val="18"/>
              </w:rPr>
              <w:t>Local skin pain during procedure and for a few days afterwards. Permanent change in skin colour (lighter or darker) may occur. There is a small chance of scarring or infection</w:t>
            </w:r>
          </w:p>
        </w:tc>
        <w:tc>
          <w:tcPr>
            <w:tcW w:w="1253" w:type="dxa"/>
            <w:shd w:val="clear" w:color="auto" w:fill="D6E8EA"/>
          </w:tcPr>
          <w:p w:rsidR="00E436F1" w:rsidRPr="002602A7" w:rsidRDefault="00E436F1" w:rsidP="002602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74C80"/>
                <w:sz w:val="18"/>
                <w:szCs w:val="18"/>
              </w:rPr>
            </w:pPr>
            <w:r w:rsidRPr="00E436F1">
              <w:rPr>
                <w:rFonts w:ascii="Calibri" w:eastAsia="Times New Roman" w:hAnsi="Calibri" w:cs="Times New Roman"/>
                <w:sz w:val="18"/>
                <w:szCs w:val="18"/>
              </w:rPr>
              <w:t>Depends on waiting list at your centre</w:t>
            </w:r>
          </w:p>
        </w:tc>
        <w:tc>
          <w:tcPr>
            <w:tcW w:w="1635" w:type="dxa"/>
            <w:shd w:val="clear" w:color="auto" w:fill="D6E8EA"/>
          </w:tcPr>
          <w:p w:rsidR="00E436F1" w:rsidRPr="002602A7" w:rsidRDefault="00E436F1" w:rsidP="002602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74C80"/>
                <w:sz w:val="18"/>
                <w:szCs w:val="18"/>
              </w:rPr>
            </w:pPr>
            <w:r w:rsidRPr="00E436F1">
              <w:rPr>
                <w:rFonts w:ascii="Calibri" w:eastAsia="Times New Roman" w:hAnsi="Calibri" w:cs="Times New Roman"/>
                <w:sz w:val="18"/>
                <w:szCs w:val="18"/>
              </w:rPr>
              <w:t>At least 4 treatments will be given, each one m</w:t>
            </w:r>
            <w:r w:rsidR="002602A7">
              <w:rPr>
                <w:rFonts w:ascii="Calibri" w:eastAsia="Times New Roman" w:hAnsi="Calibri" w:cs="Times New Roman"/>
                <w:sz w:val="18"/>
                <w:szCs w:val="18"/>
              </w:rPr>
              <w:t>onth apart.</w:t>
            </w:r>
          </w:p>
        </w:tc>
      </w:tr>
      <w:tr w:rsidR="002602A7" w:rsidRPr="00E436F1" w:rsidTr="002602A7">
        <w:trPr>
          <w:trHeight w:val="832"/>
        </w:trPr>
        <w:tc>
          <w:tcPr>
            <w:cnfStyle w:val="001000000000" w:firstRow="0" w:lastRow="0" w:firstColumn="1" w:lastColumn="0" w:oddVBand="0" w:evenVBand="0" w:oddHBand="0" w:evenHBand="0" w:firstRowFirstColumn="0" w:firstRowLastColumn="0" w:lastRowFirstColumn="0" w:lastRowLastColumn="0"/>
            <w:tcW w:w="1134" w:type="dxa"/>
            <w:tcBorders>
              <w:right w:val="double" w:sz="4" w:space="0" w:color="5AA2AE"/>
            </w:tcBorders>
            <w:shd w:val="clear" w:color="auto" w:fill="ADD5DD"/>
          </w:tcPr>
          <w:p w:rsidR="00E436F1" w:rsidRPr="00E436F1" w:rsidRDefault="00E436F1" w:rsidP="00E436F1">
            <w:pPr>
              <w:jc w:val="center"/>
              <w:rPr>
                <w:rFonts w:ascii="Calibri" w:eastAsia="Times New Roman" w:hAnsi="Calibri" w:cs="Times New Roman"/>
                <w:sz w:val="22"/>
                <w:szCs w:val="22"/>
              </w:rPr>
            </w:pPr>
            <w:r w:rsidRPr="00E436F1">
              <w:rPr>
                <w:rFonts w:ascii="Calibri" w:eastAsia="Times New Roman" w:hAnsi="Calibri" w:cs="Times New Roman"/>
                <w:sz w:val="22"/>
                <w:szCs w:val="22"/>
              </w:rPr>
              <w:t>Deroofing</w:t>
            </w:r>
          </w:p>
        </w:tc>
        <w:tc>
          <w:tcPr>
            <w:tcW w:w="2610" w:type="dxa"/>
            <w:tcBorders>
              <w:left w:val="double" w:sz="4" w:space="0" w:color="5AA2AE"/>
            </w:tcBorders>
            <w:shd w:val="clear" w:color="auto" w:fill="ADD5DD"/>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After a pain killing local anaesthetic injection, the roofs of individual skin tunnels are removed, the wound base heals naturally, covered by a dressing</w:t>
            </w:r>
          </w:p>
        </w:tc>
        <w:tc>
          <w:tcPr>
            <w:tcW w:w="1991" w:type="dxa"/>
            <w:shd w:val="clear" w:color="auto" w:fill="ADD5DD"/>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For individual skin tunnels and areas of scarring</w:t>
            </w:r>
          </w:p>
        </w:tc>
        <w:tc>
          <w:tcPr>
            <w:tcW w:w="1627" w:type="dxa"/>
            <w:shd w:val="clear" w:color="auto" w:fill="ADD5DD"/>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Aims to stop discharge of pus from areas of scarring that often flare in the same place</w:t>
            </w:r>
          </w:p>
        </w:tc>
        <w:tc>
          <w:tcPr>
            <w:tcW w:w="3784" w:type="dxa"/>
            <w:shd w:val="clear" w:color="auto" w:fill="ADD5DD"/>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Local skin pain during procedure and for a few days afterwards. Localised scarring, wound infection. Duration of wound healing depends on area of skin removed and can take several weeks with daily dressing changes. New lesions are not prevented</w:t>
            </w:r>
          </w:p>
        </w:tc>
        <w:tc>
          <w:tcPr>
            <w:tcW w:w="1253" w:type="dxa"/>
            <w:shd w:val="clear" w:color="auto" w:fill="ADD5DD"/>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Depends on waiting list at your centre</w:t>
            </w:r>
          </w:p>
        </w:tc>
        <w:tc>
          <w:tcPr>
            <w:tcW w:w="1635" w:type="dxa"/>
            <w:shd w:val="clear" w:color="auto" w:fill="ADD5DD"/>
          </w:tcPr>
          <w:p w:rsidR="00E436F1" w:rsidRPr="00E436F1" w:rsidRDefault="00E436F1" w:rsidP="00E43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Usually one treatment is enough, however deroofing can be performed again</w:t>
            </w:r>
          </w:p>
        </w:tc>
      </w:tr>
      <w:tr w:rsidR="002602A7" w:rsidRPr="00E436F1" w:rsidTr="002602A7">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134" w:type="dxa"/>
            <w:tcBorders>
              <w:right w:val="double" w:sz="4" w:space="0" w:color="5AA2AE"/>
            </w:tcBorders>
            <w:shd w:val="clear" w:color="auto" w:fill="A4C7CC"/>
          </w:tcPr>
          <w:p w:rsidR="00E436F1" w:rsidRPr="00E436F1" w:rsidRDefault="00E436F1" w:rsidP="00E436F1">
            <w:pPr>
              <w:jc w:val="center"/>
              <w:rPr>
                <w:rFonts w:ascii="Calibri" w:eastAsia="Times New Roman" w:hAnsi="Calibri" w:cs="Times New Roman"/>
                <w:sz w:val="22"/>
                <w:szCs w:val="22"/>
              </w:rPr>
            </w:pPr>
            <w:r w:rsidRPr="00E436F1">
              <w:rPr>
                <w:rFonts w:ascii="Calibri" w:eastAsia="Times New Roman" w:hAnsi="Calibri" w:cs="Times New Roman"/>
                <w:sz w:val="22"/>
                <w:szCs w:val="22"/>
              </w:rPr>
              <w:t>Surgical excision</w:t>
            </w:r>
          </w:p>
        </w:tc>
        <w:tc>
          <w:tcPr>
            <w:tcW w:w="2610" w:type="dxa"/>
            <w:tcBorders>
              <w:left w:val="double" w:sz="4" w:space="0" w:color="5AA2AE"/>
            </w:tcBorders>
            <w:shd w:val="clear" w:color="auto" w:fill="A4C7CC"/>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 xml:space="preserve">Varies from removal of small areas of skin under local anaesthetic, closed with stitches, to large areas under general anaesthetic,  healed with dressings /skin graft / flap </w:t>
            </w:r>
          </w:p>
        </w:tc>
        <w:tc>
          <w:tcPr>
            <w:tcW w:w="1991" w:type="dxa"/>
            <w:shd w:val="clear" w:color="auto" w:fill="A4C7CC"/>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Usually treats only one skin region at a time to avoid too many skin wounds in one go</w:t>
            </w:r>
          </w:p>
        </w:tc>
        <w:tc>
          <w:tcPr>
            <w:tcW w:w="1627" w:type="dxa"/>
            <w:shd w:val="clear" w:color="auto" w:fill="A4C7CC"/>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 xml:space="preserve">Removal of areas of active disease, scarring and, in some cases, surrounding skin at risk of flaring later  </w:t>
            </w:r>
          </w:p>
        </w:tc>
        <w:tc>
          <w:tcPr>
            <w:tcW w:w="3784" w:type="dxa"/>
            <w:shd w:val="clear" w:color="auto" w:fill="A4C7CC"/>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Local skin pain during procedure and after. Scarring, bleeding, wound infection; rarely nerve damage, problems with general anaesthetic. Duration of wound healing varies and can take several months with daily dressing changes. Skin grafts and flaps may not be successful</w:t>
            </w:r>
          </w:p>
        </w:tc>
        <w:tc>
          <w:tcPr>
            <w:tcW w:w="1253" w:type="dxa"/>
            <w:shd w:val="clear" w:color="auto" w:fill="A4C7CC"/>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Depends on waiting list at your centre</w:t>
            </w:r>
          </w:p>
        </w:tc>
        <w:tc>
          <w:tcPr>
            <w:tcW w:w="1635" w:type="dxa"/>
            <w:shd w:val="clear" w:color="auto" w:fill="A4C7CC"/>
          </w:tcPr>
          <w:p w:rsidR="00E436F1" w:rsidRPr="00E436F1" w:rsidRDefault="00E436F1" w:rsidP="00E43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E436F1">
              <w:rPr>
                <w:rFonts w:ascii="Calibri" w:eastAsia="Times New Roman" w:hAnsi="Calibri" w:cs="Times New Roman"/>
                <w:sz w:val="18"/>
                <w:szCs w:val="18"/>
              </w:rPr>
              <w:t>Small procedures can be repeated, larger ones are allowed to heal before any further surgery</w:t>
            </w:r>
          </w:p>
        </w:tc>
      </w:tr>
    </w:tbl>
    <w:p w:rsidR="001D6D02" w:rsidRDefault="001D6D02" w:rsidP="00BD7635"/>
    <w:sectPr w:rsidR="001D6D02" w:rsidSect="00073C20">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60B" w:rsidRDefault="00BD7635">
      <w:pPr>
        <w:spacing w:before="0" w:after="0" w:line="240" w:lineRule="auto"/>
      </w:pPr>
      <w:r>
        <w:separator/>
      </w:r>
    </w:p>
  </w:endnote>
  <w:endnote w:type="continuationSeparator" w:id="0">
    <w:p w:rsidR="00F4760B" w:rsidRDefault="00BD76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60B" w:rsidRDefault="00BD7635">
      <w:pPr>
        <w:spacing w:before="0" w:after="0" w:line="240" w:lineRule="auto"/>
      </w:pPr>
      <w:r>
        <w:separator/>
      </w:r>
    </w:p>
  </w:footnote>
  <w:footnote w:type="continuationSeparator" w:id="0">
    <w:p w:rsidR="00F4760B" w:rsidRDefault="00BD763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99" w:rsidRPr="00BC2D5D" w:rsidRDefault="00AB739A" w:rsidP="00BD763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F1"/>
    <w:rsid w:val="001D6D02"/>
    <w:rsid w:val="002602A7"/>
    <w:rsid w:val="00654F56"/>
    <w:rsid w:val="006F340E"/>
    <w:rsid w:val="00AB739A"/>
    <w:rsid w:val="00BD7635"/>
    <w:rsid w:val="00E436F1"/>
    <w:rsid w:val="00F47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D235C-E85D-48EB-8505-F4E900B3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6F1"/>
    <w:rPr>
      <w:rFonts w:eastAsiaTheme="minorEastAsia"/>
    </w:rPr>
  </w:style>
  <w:style w:type="paragraph" w:styleId="Heading1">
    <w:name w:val="heading 1"/>
    <w:basedOn w:val="Normal"/>
    <w:next w:val="Normal"/>
    <w:link w:val="Heading1Char"/>
    <w:uiPriority w:val="9"/>
    <w:qFormat/>
    <w:rsid w:val="006F340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F340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F340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6F340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6F340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6F340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6F340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6F340E"/>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6F340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40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6F340E"/>
    <w:rPr>
      <w:caps/>
      <w:spacing w:val="15"/>
      <w:shd w:val="clear" w:color="auto" w:fill="DEEAF6" w:themeFill="accent1" w:themeFillTint="33"/>
    </w:rPr>
  </w:style>
  <w:style w:type="character" w:customStyle="1" w:styleId="Heading3Char">
    <w:name w:val="Heading 3 Char"/>
    <w:basedOn w:val="DefaultParagraphFont"/>
    <w:link w:val="Heading3"/>
    <w:uiPriority w:val="9"/>
    <w:rsid w:val="006F340E"/>
    <w:rPr>
      <w:caps/>
      <w:color w:val="1F4D78" w:themeColor="accent1" w:themeShade="7F"/>
      <w:spacing w:val="15"/>
    </w:rPr>
  </w:style>
  <w:style w:type="character" w:customStyle="1" w:styleId="Heading4Char">
    <w:name w:val="Heading 4 Char"/>
    <w:basedOn w:val="DefaultParagraphFont"/>
    <w:link w:val="Heading4"/>
    <w:uiPriority w:val="9"/>
    <w:rsid w:val="006F340E"/>
    <w:rPr>
      <w:caps/>
      <w:color w:val="2E74B5" w:themeColor="accent1" w:themeShade="BF"/>
      <w:spacing w:val="10"/>
    </w:rPr>
  </w:style>
  <w:style w:type="character" w:customStyle="1" w:styleId="Heading5Char">
    <w:name w:val="Heading 5 Char"/>
    <w:basedOn w:val="DefaultParagraphFont"/>
    <w:link w:val="Heading5"/>
    <w:uiPriority w:val="9"/>
    <w:rsid w:val="006F340E"/>
    <w:rPr>
      <w:caps/>
      <w:color w:val="2E74B5" w:themeColor="accent1" w:themeShade="BF"/>
      <w:spacing w:val="10"/>
    </w:rPr>
  </w:style>
  <w:style w:type="character" w:customStyle="1" w:styleId="Heading6Char">
    <w:name w:val="Heading 6 Char"/>
    <w:basedOn w:val="DefaultParagraphFont"/>
    <w:link w:val="Heading6"/>
    <w:uiPriority w:val="9"/>
    <w:rsid w:val="006F340E"/>
    <w:rPr>
      <w:caps/>
      <w:color w:val="2E74B5" w:themeColor="accent1" w:themeShade="BF"/>
      <w:spacing w:val="10"/>
    </w:rPr>
  </w:style>
  <w:style w:type="character" w:customStyle="1" w:styleId="Heading7Char">
    <w:name w:val="Heading 7 Char"/>
    <w:basedOn w:val="DefaultParagraphFont"/>
    <w:link w:val="Heading7"/>
    <w:uiPriority w:val="9"/>
    <w:rsid w:val="006F340E"/>
    <w:rPr>
      <w:caps/>
      <w:color w:val="2E74B5" w:themeColor="accent1" w:themeShade="BF"/>
      <w:spacing w:val="10"/>
    </w:rPr>
  </w:style>
  <w:style w:type="character" w:customStyle="1" w:styleId="Heading8Char">
    <w:name w:val="Heading 8 Char"/>
    <w:basedOn w:val="DefaultParagraphFont"/>
    <w:link w:val="Heading8"/>
    <w:uiPriority w:val="9"/>
    <w:rsid w:val="006F340E"/>
    <w:rPr>
      <w:caps/>
      <w:spacing w:val="10"/>
      <w:sz w:val="18"/>
      <w:szCs w:val="18"/>
    </w:rPr>
  </w:style>
  <w:style w:type="character" w:customStyle="1" w:styleId="Heading9Char">
    <w:name w:val="Heading 9 Char"/>
    <w:basedOn w:val="DefaultParagraphFont"/>
    <w:link w:val="Heading9"/>
    <w:uiPriority w:val="9"/>
    <w:rsid w:val="006F340E"/>
    <w:rPr>
      <w:i/>
      <w:iCs/>
      <w:caps/>
      <w:spacing w:val="10"/>
      <w:sz w:val="18"/>
      <w:szCs w:val="18"/>
    </w:rPr>
  </w:style>
  <w:style w:type="paragraph" w:styleId="Caption">
    <w:name w:val="caption"/>
    <w:basedOn w:val="Normal"/>
    <w:next w:val="Normal"/>
    <w:uiPriority w:val="35"/>
    <w:semiHidden/>
    <w:unhideWhenUsed/>
    <w:qFormat/>
    <w:rsid w:val="006F340E"/>
    <w:rPr>
      <w:b/>
      <w:bCs/>
      <w:color w:val="2E74B5" w:themeColor="accent1" w:themeShade="BF"/>
      <w:sz w:val="16"/>
      <w:szCs w:val="16"/>
    </w:rPr>
  </w:style>
  <w:style w:type="paragraph" w:styleId="Title">
    <w:name w:val="Title"/>
    <w:basedOn w:val="Normal"/>
    <w:next w:val="Normal"/>
    <w:link w:val="TitleChar"/>
    <w:uiPriority w:val="10"/>
    <w:qFormat/>
    <w:rsid w:val="006F340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6F340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6F340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F340E"/>
    <w:rPr>
      <w:caps/>
      <w:color w:val="595959" w:themeColor="text1" w:themeTint="A6"/>
      <w:spacing w:val="10"/>
      <w:sz w:val="21"/>
      <w:szCs w:val="21"/>
    </w:rPr>
  </w:style>
  <w:style w:type="character" w:styleId="Strong">
    <w:name w:val="Strong"/>
    <w:uiPriority w:val="22"/>
    <w:qFormat/>
    <w:rsid w:val="006F340E"/>
    <w:rPr>
      <w:b/>
      <w:bCs/>
    </w:rPr>
  </w:style>
  <w:style w:type="character" w:styleId="Emphasis">
    <w:name w:val="Emphasis"/>
    <w:uiPriority w:val="20"/>
    <w:qFormat/>
    <w:rsid w:val="006F340E"/>
    <w:rPr>
      <w:caps/>
      <w:color w:val="1F4D78" w:themeColor="accent1" w:themeShade="7F"/>
      <w:spacing w:val="5"/>
    </w:rPr>
  </w:style>
  <w:style w:type="paragraph" w:styleId="NoSpacing">
    <w:name w:val="No Spacing"/>
    <w:uiPriority w:val="1"/>
    <w:qFormat/>
    <w:rsid w:val="006F340E"/>
    <w:pPr>
      <w:spacing w:after="0" w:line="240" w:lineRule="auto"/>
    </w:pPr>
  </w:style>
  <w:style w:type="paragraph" w:styleId="ListParagraph">
    <w:name w:val="List Paragraph"/>
    <w:basedOn w:val="Normal"/>
    <w:uiPriority w:val="34"/>
    <w:qFormat/>
    <w:rsid w:val="006F340E"/>
    <w:pPr>
      <w:ind w:left="720"/>
      <w:contextualSpacing/>
    </w:pPr>
  </w:style>
  <w:style w:type="paragraph" w:styleId="Quote">
    <w:name w:val="Quote"/>
    <w:basedOn w:val="Normal"/>
    <w:next w:val="Normal"/>
    <w:link w:val="QuoteChar"/>
    <w:uiPriority w:val="29"/>
    <w:qFormat/>
    <w:rsid w:val="006F340E"/>
    <w:rPr>
      <w:i/>
      <w:iCs/>
      <w:sz w:val="24"/>
      <w:szCs w:val="24"/>
    </w:rPr>
  </w:style>
  <w:style w:type="character" w:customStyle="1" w:styleId="QuoteChar">
    <w:name w:val="Quote Char"/>
    <w:basedOn w:val="DefaultParagraphFont"/>
    <w:link w:val="Quote"/>
    <w:uiPriority w:val="29"/>
    <w:rsid w:val="006F340E"/>
    <w:rPr>
      <w:i/>
      <w:iCs/>
      <w:sz w:val="24"/>
      <w:szCs w:val="24"/>
    </w:rPr>
  </w:style>
  <w:style w:type="paragraph" w:styleId="IntenseQuote">
    <w:name w:val="Intense Quote"/>
    <w:basedOn w:val="Normal"/>
    <w:next w:val="Normal"/>
    <w:link w:val="IntenseQuoteChar"/>
    <w:uiPriority w:val="30"/>
    <w:qFormat/>
    <w:rsid w:val="006F340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F340E"/>
    <w:rPr>
      <w:color w:val="5B9BD5" w:themeColor="accent1"/>
      <w:sz w:val="24"/>
      <w:szCs w:val="24"/>
    </w:rPr>
  </w:style>
  <w:style w:type="character" w:styleId="SubtleEmphasis">
    <w:name w:val="Subtle Emphasis"/>
    <w:uiPriority w:val="19"/>
    <w:qFormat/>
    <w:rsid w:val="006F340E"/>
    <w:rPr>
      <w:i/>
      <w:iCs/>
      <w:color w:val="1F4D78" w:themeColor="accent1" w:themeShade="7F"/>
    </w:rPr>
  </w:style>
  <w:style w:type="character" w:styleId="IntenseEmphasis">
    <w:name w:val="Intense Emphasis"/>
    <w:uiPriority w:val="21"/>
    <w:qFormat/>
    <w:rsid w:val="006F340E"/>
    <w:rPr>
      <w:b/>
      <w:bCs/>
      <w:caps/>
      <w:color w:val="1F4D78" w:themeColor="accent1" w:themeShade="7F"/>
      <w:spacing w:val="10"/>
    </w:rPr>
  </w:style>
  <w:style w:type="character" w:styleId="SubtleReference">
    <w:name w:val="Subtle Reference"/>
    <w:uiPriority w:val="31"/>
    <w:qFormat/>
    <w:rsid w:val="006F340E"/>
    <w:rPr>
      <w:b/>
      <w:bCs/>
      <w:color w:val="5B9BD5" w:themeColor="accent1"/>
    </w:rPr>
  </w:style>
  <w:style w:type="character" w:styleId="IntenseReference">
    <w:name w:val="Intense Reference"/>
    <w:uiPriority w:val="32"/>
    <w:qFormat/>
    <w:rsid w:val="006F340E"/>
    <w:rPr>
      <w:b/>
      <w:bCs/>
      <w:i/>
      <w:iCs/>
      <w:caps/>
      <w:color w:val="5B9BD5" w:themeColor="accent1"/>
    </w:rPr>
  </w:style>
  <w:style w:type="character" w:styleId="BookTitle">
    <w:name w:val="Book Title"/>
    <w:uiPriority w:val="33"/>
    <w:qFormat/>
    <w:rsid w:val="006F340E"/>
    <w:rPr>
      <w:b/>
      <w:bCs/>
      <w:i/>
      <w:iCs/>
      <w:spacing w:val="0"/>
    </w:rPr>
  </w:style>
  <w:style w:type="paragraph" w:styleId="TOCHeading">
    <w:name w:val="TOC Heading"/>
    <w:basedOn w:val="Heading1"/>
    <w:next w:val="Normal"/>
    <w:uiPriority w:val="39"/>
    <w:semiHidden/>
    <w:unhideWhenUsed/>
    <w:qFormat/>
    <w:rsid w:val="006F340E"/>
    <w:pPr>
      <w:outlineLvl w:val="9"/>
    </w:pPr>
  </w:style>
  <w:style w:type="paragraph" w:styleId="Header">
    <w:name w:val="header"/>
    <w:basedOn w:val="Normal"/>
    <w:link w:val="HeaderChar"/>
    <w:uiPriority w:val="99"/>
    <w:unhideWhenUsed/>
    <w:rsid w:val="00E436F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436F1"/>
    <w:rPr>
      <w:rFonts w:eastAsiaTheme="minorEastAsia"/>
    </w:rPr>
  </w:style>
  <w:style w:type="table" w:customStyle="1" w:styleId="GridTable2-Accent51">
    <w:name w:val="Grid Table 2 - Accent 51"/>
    <w:basedOn w:val="TableNormal"/>
    <w:uiPriority w:val="47"/>
    <w:rsid w:val="00E436F1"/>
    <w:pPr>
      <w:spacing w:after="0"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er">
    <w:name w:val="footer"/>
    <w:basedOn w:val="Normal"/>
    <w:link w:val="FooterChar"/>
    <w:uiPriority w:val="99"/>
    <w:unhideWhenUsed/>
    <w:rsid w:val="00BD76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D763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Euden</dc:creator>
  <cp:keywords/>
  <dc:description/>
  <cp:lastModifiedBy>Janine Bates</cp:lastModifiedBy>
  <cp:revision>2</cp:revision>
  <dcterms:created xsi:type="dcterms:W3CDTF">2019-10-04T15:53:00Z</dcterms:created>
  <dcterms:modified xsi:type="dcterms:W3CDTF">2019-10-04T15:53:00Z</dcterms:modified>
</cp:coreProperties>
</file>