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417" w:rsidRDefault="007C4417" w:rsidP="00470744">
      <w:pPr>
        <w:jc w:val="both"/>
        <w:rPr>
          <w:b/>
        </w:rPr>
      </w:pPr>
    </w:p>
    <w:p w:rsidR="007C4417" w:rsidRDefault="00861EC0" w:rsidP="00861EC0">
      <w:pPr>
        <w:jc w:val="center"/>
        <w:rPr>
          <w:b/>
        </w:rPr>
      </w:pPr>
      <w:r>
        <w:rPr>
          <w:b/>
        </w:rPr>
        <w:t xml:space="preserve">                                                                </w:t>
      </w:r>
    </w:p>
    <w:p w:rsidR="007C4417" w:rsidRDefault="007C4417" w:rsidP="00470744">
      <w:pPr>
        <w:jc w:val="center"/>
        <w:rPr>
          <w:b/>
        </w:rPr>
      </w:pPr>
    </w:p>
    <w:p w:rsidR="007C4417" w:rsidRDefault="007C4417" w:rsidP="00470744">
      <w:pPr>
        <w:jc w:val="center"/>
        <w:rPr>
          <w:b/>
        </w:rPr>
      </w:pPr>
    </w:p>
    <w:p w:rsidR="007C4417" w:rsidRDefault="007C4417" w:rsidP="00470744">
      <w:pPr>
        <w:jc w:val="center"/>
        <w:rPr>
          <w:b/>
          <w:sz w:val="32"/>
          <w:szCs w:val="32"/>
        </w:rPr>
      </w:pPr>
    </w:p>
    <w:p w:rsidR="007C4417" w:rsidRDefault="007C4417" w:rsidP="00470744">
      <w:pPr>
        <w:jc w:val="center"/>
        <w:rPr>
          <w:b/>
          <w:sz w:val="32"/>
          <w:szCs w:val="32"/>
        </w:rPr>
      </w:pPr>
    </w:p>
    <w:p w:rsidR="007C4417" w:rsidRDefault="007C4417" w:rsidP="00470744">
      <w:pPr>
        <w:jc w:val="center"/>
        <w:rPr>
          <w:b/>
          <w:sz w:val="32"/>
          <w:szCs w:val="32"/>
        </w:rPr>
      </w:pPr>
    </w:p>
    <w:p w:rsidR="007C4417" w:rsidRPr="007555F1" w:rsidRDefault="007C4417" w:rsidP="00470744">
      <w:pPr>
        <w:jc w:val="center"/>
        <w:rPr>
          <w:b/>
          <w:sz w:val="32"/>
          <w:szCs w:val="32"/>
        </w:rPr>
      </w:pPr>
      <w:r w:rsidRPr="007555F1">
        <w:rPr>
          <w:b/>
          <w:sz w:val="32"/>
          <w:szCs w:val="32"/>
        </w:rPr>
        <w:t>Skills and Employment Survey 2012</w:t>
      </w:r>
      <w:r>
        <w:rPr>
          <w:b/>
          <w:sz w:val="32"/>
          <w:szCs w:val="32"/>
        </w:rPr>
        <w:t>:</w:t>
      </w:r>
    </w:p>
    <w:p w:rsidR="007C4417" w:rsidRPr="007555F1" w:rsidRDefault="007C4417" w:rsidP="00470744">
      <w:pPr>
        <w:jc w:val="center"/>
        <w:rPr>
          <w:b/>
          <w:sz w:val="32"/>
          <w:szCs w:val="32"/>
        </w:rPr>
      </w:pPr>
      <w:r>
        <w:rPr>
          <w:b/>
          <w:sz w:val="32"/>
          <w:szCs w:val="32"/>
        </w:rPr>
        <w:t>Technical Briefing</w:t>
      </w:r>
    </w:p>
    <w:p w:rsidR="007C4417" w:rsidRPr="007555F1" w:rsidRDefault="007C4417" w:rsidP="00470744">
      <w:pPr>
        <w:jc w:val="center"/>
        <w:rPr>
          <w:b/>
          <w:sz w:val="32"/>
          <w:szCs w:val="32"/>
        </w:rPr>
      </w:pPr>
    </w:p>
    <w:p w:rsidR="007C4417" w:rsidRDefault="007C4417" w:rsidP="00470744">
      <w:pPr>
        <w:jc w:val="center"/>
        <w:rPr>
          <w:b/>
          <w:sz w:val="32"/>
          <w:szCs w:val="32"/>
        </w:rPr>
      </w:pPr>
    </w:p>
    <w:p w:rsidR="007C4417" w:rsidRDefault="007C4417" w:rsidP="00470744">
      <w:pPr>
        <w:jc w:val="center"/>
        <w:rPr>
          <w:b/>
          <w:sz w:val="32"/>
          <w:szCs w:val="32"/>
        </w:rPr>
      </w:pPr>
    </w:p>
    <w:p w:rsidR="007C4417" w:rsidRDefault="007C4417" w:rsidP="00470744">
      <w:pPr>
        <w:jc w:val="center"/>
        <w:rPr>
          <w:b/>
          <w:sz w:val="32"/>
          <w:szCs w:val="32"/>
        </w:rPr>
      </w:pPr>
    </w:p>
    <w:p w:rsidR="007C4417" w:rsidRDefault="007C4417" w:rsidP="00470744">
      <w:pPr>
        <w:jc w:val="center"/>
        <w:rPr>
          <w:b/>
          <w:sz w:val="32"/>
          <w:szCs w:val="32"/>
        </w:rPr>
      </w:pPr>
    </w:p>
    <w:p w:rsidR="007C4417" w:rsidRPr="007555F1" w:rsidRDefault="007C4417" w:rsidP="00470744">
      <w:pPr>
        <w:jc w:val="center"/>
        <w:rPr>
          <w:b/>
          <w:sz w:val="32"/>
          <w:szCs w:val="32"/>
        </w:rPr>
      </w:pPr>
      <w:r w:rsidRPr="007555F1">
        <w:rPr>
          <w:b/>
          <w:sz w:val="32"/>
          <w:szCs w:val="32"/>
        </w:rPr>
        <w:t>Alan Felstead, Duncan Gallie, Francis Green and Hande Inanc</w:t>
      </w:r>
    </w:p>
    <w:p w:rsidR="007C4417" w:rsidRDefault="007C4417" w:rsidP="00470744">
      <w:pPr>
        <w:jc w:val="center"/>
      </w:pPr>
    </w:p>
    <w:p w:rsidR="007C4417" w:rsidRDefault="007C4417" w:rsidP="00470744">
      <w:pPr>
        <w:jc w:val="center"/>
        <w:rPr>
          <w:b/>
        </w:rPr>
      </w:pPr>
    </w:p>
    <w:p w:rsidR="007C4417" w:rsidRDefault="007C4417" w:rsidP="00470744">
      <w:pPr>
        <w:jc w:val="center"/>
        <w:rPr>
          <w:b/>
        </w:rPr>
      </w:pPr>
    </w:p>
    <w:p w:rsidR="007C4417" w:rsidRDefault="007C4417" w:rsidP="00470744">
      <w:pPr>
        <w:jc w:val="center"/>
        <w:rPr>
          <w:b/>
        </w:rPr>
      </w:pPr>
    </w:p>
    <w:p w:rsidR="00CF45DC" w:rsidRDefault="008702FF" w:rsidP="00E327B5">
      <w:pPr>
        <w:jc w:val="center"/>
        <w:rPr>
          <w:b/>
        </w:rPr>
      </w:pPr>
      <w:r>
        <w:rPr>
          <w:b/>
        </w:rPr>
        <w:t>Revised May 2014</w:t>
      </w:r>
    </w:p>
    <w:p w:rsidR="00E327B5" w:rsidRDefault="00E327B5" w:rsidP="00E327B5">
      <w:pPr>
        <w:jc w:val="center"/>
        <w:rPr>
          <w:b/>
        </w:rPr>
      </w:pPr>
    </w:p>
    <w:p w:rsidR="00CF45DC" w:rsidRDefault="00CF45DC" w:rsidP="00470744">
      <w:pPr>
        <w:jc w:val="center"/>
        <w:rPr>
          <w:b/>
        </w:rPr>
      </w:pPr>
    </w:p>
    <w:p w:rsidR="00CF45DC" w:rsidRDefault="00CF45DC" w:rsidP="00470744">
      <w:pPr>
        <w:jc w:val="center"/>
        <w:rPr>
          <w:b/>
        </w:rPr>
      </w:pPr>
    </w:p>
    <w:p w:rsidR="00A30B10" w:rsidRDefault="00E327B5" w:rsidP="00E327B5">
      <w:pPr>
        <w:jc w:val="both"/>
        <w:rPr>
          <w:rFonts w:ascii="Arial" w:hAnsi="Arial" w:cs="Arial"/>
          <w:szCs w:val="24"/>
        </w:rPr>
      </w:pPr>
      <w:r>
        <w:rPr>
          <w:sz w:val="20"/>
        </w:rPr>
        <w:t>This report may be cited as: Felstead, A, Gallie</w:t>
      </w:r>
      <w:r w:rsidR="008702FF">
        <w:rPr>
          <w:sz w:val="20"/>
        </w:rPr>
        <w:t>, D, Green, F and Inanc, H (2014</w:t>
      </w:r>
      <w:r>
        <w:rPr>
          <w:sz w:val="20"/>
        </w:rPr>
        <w:t>)</w:t>
      </w:r>
      <w:r>
        <w:rPr>
          <w:i/>
          <w:iCs/>
          <w:sz w:val="20"/>
        </w:rPr>
        <w:t xml:space="preserve"> Skills and Employment Survey 2012: Technical Briefing, </w:t>
      </w:r>
      <w:r>
        <w:rPr>
          <w:sz w:val="20"/>
        </w:rPr>
        <w:t>London: Centre for Learning and Life Chances in Knowledge Economies and Societies, Institute of Education.</w:t>
      </w:r>
    </w:p>
    <w:p w:rsidR="00A30B10" w:rsidRDefault="00A30B10" w:rsidP="00A30B10">
      <w:pPr>
        <w:spacing w:after="120" w:line="360" w:lineRule="auto"/>
        <w:ind w:left="-567" w:firstLine="567"/>
        <w:jc w:val="both"/>
        <w:rPr>
          <w:rFonts w:ascii="Arial" w:hAnsi="Arial" w:cs="Arial"/>
          <w:szCs w:val="24"/>
        </w:rPr>
      </w:pPr>
    </w:p>
    <w:p w:rsidR="00A30B10" w:rsidRDefault="00A30B10" w:rsidP="00A30B10">
      <w:pPr>
        <w:spacing w:after="120" w:line="360" w:lineRule="auto"/>
        <w:ind w:left="-567" w:firstLine="567"/>
        <w:jc w:val="both"/>
        <w:rPr>
          <w:rFonts w:ascii="Arial" w:hAnsi="Arial" w:cs="Arial"/>
          <w:szCs w:val="24"/>
        </w:rPr>
      </w:pPr>
    </w:p>
    <w:p w:rsidR="00CF45DC" w:rsidRDefault="00CF45DC" w:rsidP="00470744">
      <w:pPr>
        <w:jc w:val="center"/>
        <w:rPr>
          <w:b/>
        </w:rPr>
      </w:pPr>
    </w:p>
    <w:p w:rsidR="001D3421" w:rsidRDefault="00CF45DC" w:rsidP="001D3421">
      <w:pPr>
        <w:jc w:val="both"/>
        <w:rPr>
          <w:i/>
          <w:iCs/>
          <w:sz w:val="19"/>
          <w:szCs w:val="19"/>
        </w:rPr>
      </w:pPr>
      <w:r>
        <w:rPr>
          <w:i/>
          <w:iCs/>
          <w:sz w:val="19"/>
          <w:szCs w:val="19"/>
        </w:rPr>
        <w:t xml:space="preserve">The Skills and Employment Survey is funded jointly by the Economic and Social Research Council and the UK Commission for Employment and Skills through the ESRC Centre for Learning and Life Chances in Knowledge Economies and Societies (LLAKES) which acts as the host institution. It is directed by Alan Felstead (Cardiff University and Visiting Professor at the Institute of Education) in collaboration with Duncan Gallie at the University of Oxford and Francis Green at the Institute of Education. </w:t>
      </w:r>
    </w:p>
    <w:p w:rsidR="00A30B10" w:rsidRDefault="00A30B10" w:rsidP="001D3421">
      <w:pPr>
        <w:jc w:val="both"/>
        <w:rPr>
          <w:i/>
          <w:iCs/>
          <w:sz w:val="19"/>
          <w:szCs w:val="19"/>
        </w:rPr>
      </w:pPr>
    </w:p>
    <w:p w:rsidR="00A30B10" w:rsidRDefault="00A30B10" w:rsidP="001D3421">
      <w:pPr>
        <w:jc w:val="both"/>
        <w:rPr>
          <w:i/>
          <w:iCs/>
          <w:sz w:val="19"/>
          <w:szCs w:val="19"/>
        </w:rPr>
      </w:pPr>
    </w:p>
    <w:p w:rsidR="00A30B10" w:rsidRDefault="00A30B10" w:rsidP="001D3421">
      <w:pPr>
        <w:jc w:val="both"/>
        <w:rPr>
          <w:i/>
          <w:iCs/>
          <w:sz w:val="19"/>
          <w:szCs w:val="19"/>
        </w:rPr>
      </w:pPr>
    </w:p>
    <w:p w:rsidR="001D3421" w:rsidRDefault="001D3421" w:rsidP="00CF45DC">
      <w:pPr>
        <w:rPr>
          <w:i/>
          <w:iCs/>
          <w:sz w:val="19"/>
          <w:szCs w:val="19"/>
        </w:rPr>
      </w:pPr>
    </w:p>
    <w:p w:rsidR="00A30B10" w:rsidRPr="00046826" w:rsidRDefault="00C70796" w:rsidP="00A30B10">
      <w:pPr>
        <w:spacing w:after="120" w:line="360" w:lineRule="auto"/>
        <w:ind w:left="-567" w:firstLine="567"/>
        <w:jc w:val="both"/>
        <w:rPr>
          <w:rFonts w:ascii="Arial" w:hAnsi="Arial" w:cs="Arial"/>
          <w:szCs w:val="24"/>
        </w:rPr>
      </w:pPr>
      <w:r w:rsidRPr="00C70796">
        <w:rPr>
          <w:iCs/>
          <w:noProof/>
          <w:sz w:val="19"/>
          <w:szCs w:val="19"/>
          <w:lang w:eastAsia="en-GB"/>
        </w:rPr>
        <w:pict>
          <v:shapetype id="_x0000_t202" coordsize="21600,21600" o:spt="202" path="m,l,21600r21600,l21600,xe">
            <v:stroke joinstyle="miter"/>
            <v:path gradientshapeok="t" o:connecttype="rect"/>
          </v:shapetype>
          <v:shape id="_x0000_s1026" type="#_x0000_t202" style="position:absolute;left:0;text-align:left;margin-left:375pt;margin-top:6.9pt;width:121.6pt;height:55.5pt;z-index:251658240;mso-width-relative:margin;mso-height-relative:margin">
            <v:textbox style="mso-next-textbox:#_x0000_s1026">
              <w:txbxContent>
                <w:p w:rsidR="00737BB3" w:rsidRPr="006F1E91" w:rsidRDefault="00737BB3" w:rsidP="00A30B10">
                  <w:pPr>
                    <w:tabs>
                      <w:tab w:val="left" w:pos="1418"/>
                    </w:tabs>
                    <w:spacing w:before="100" w:beforeAutospacing="1" w:after="100" w:afterAutospacing="1"/>
                    <w:outlineLvl w:val="0"/>
                    <w:rPr>
                      <w:rFonts w:ascii="Verdana" w:eastAsia="Times New Roman" w:hAnsi="Verdana"/>
                      <w:b/>
                      <w:bCs/>
                      <w:color w:val="948A54" w:themeColor="background2" w:themeShade="80"/>
                      <w:sz w:val="14"/>
                      <w:szCs w:val="36"/>
                      <w:lang w:eastAsia="en-GB"/>
                    </w:rPr>
                  </w:pPr>
                  <w:r w:rsidRPr="006F1E91">
                    <w:rPr>
                      <w:rFonts w:ascii="Verdana" w:eastAsia="Times New Roman" w:hAnsi="Verdana"/>
                      <w:b/>
                      <w:bCs/>
                      <w:color w:val="948A54" w:themeColor="background2" w:themeShade="80"/>
                      <w:kern w:val="36"/>
                      <w:szCs w:val="48"/>
                      <w:lang w:eastAsia="en-GB"/>
                    </w:rPr>
                    <w:t>Nuffield College</w:t>
                  </w:r>
                  <w:r w:rsidRPr="006F1E91">
                    <w:rPr>
                      <w:rFonts w:ascii="Verdana" w:eastAsia="Times New Roman" w:hAnsi="Verdana"/>
                      <w:b/>
                      <w:bCs/>
                      <w:color w:val="948A54" w:themeColor="background2" w:themeShade="80"/>
                      <w:kern w:val="36"/>
                      <w:szCs w:val="48"/>
                      <w:lang w:eastAsia="en-GB"/>
                    </w:rPr>
                    <w:br/>
                  </w:r>
                  <w:r w:rsidRPr="006F1E91">
                    <w:rPr>
                      <w:rFonts w:ascii="Verdana" w:eastAsia="Times New Roman" w:hAnsi="Verdana"/>
                      <w:b/>
                      <w:bCs/>
                      <w:color w:val="948A54" w:themeColor="background2" w:themeShade="80"/>
                      <w:sz w:val="14"/>
                      <w:szCs w:val="36"/>
                      <w:lang w:eastAsia="en-GB"/>
                    </w:rPr>
                    <w:t>University of Oxford</w:t>
                  </w:r>
                  <w:r>
                    <w:rPr>
                      <w:rFonts w:ascii="Verdana" w:eastAsia="Times New Roman" w:hAnsi="Verdana"/>
                      <w:b/>
                      <w:bCs/>
                      <w:color w:val="948A54" w:themeColor="background2" w:themeShade="80"/>
                      <w:sz w:val="14"/>
                      <w:szCs w:val="36"/>
                      <w:lang w:eastAsia="en-GB"/>
                    </w:rPr>
                    <w:t xml:space="preserve">  </w:t>
                  </w:r>
                </w:p>
                <w:p w:rsidR="00737BB3" w:rsidRDefault="00737BB3" w:rsidP="00A30B10">
                  <w:pPr>
                    <w:tabs>
                      <w:tab w:val="left" w:pos="1418"/>
                    </w:tabs>
                  </w:pPr>
                </w:p>
              </w:txbxContent>
            </v:textbox>
          </v:shape>
        </w:pict>
      </w:r>
      <w:r w:rsidR="00A30B10" w:rsidRPr="00A30B10">
        <w:rPr>
          <w:iCs/>
          <w:noProof/>
          <w:sz w:val="19"/>
          <w:szCs w:val="19"/>
          <w:lang w:eastAsia="en-GB"/>
        </w:rPr>
        <w:drawing>
          <wp:inline distT="0" distB="0" distL="0" distR="0">
            <wp:extent cx="2167128" cy="719328"/>
            <wp:effectExtent l="19050" t="0" r="4572" b="0"/>
            <wp:docPr id="3" name="Picture 1" descr="lla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akes.jpg"/>
                    <pic:cNvPicPr/>
                  </pic:nvPicPr>
                  <pic:blipFill>
                    <a:blip r:embed="rId8" cstate="print"/>
                    <a:stretch>
                      <a:fillRect/>
                    </a:stretch>
                  </pic:blipFill>
                  <pic:spPr>
                    <a:xfrm>
                      <a:off x="0" y="0"/>
                      <a:ext cx="2167128" cy="719328"/>
                    </a:xfrm>
                    <a:prstGeom prst="rect">
                      <a:avLst/>
                    </a:prstGeom>
                  </pic:spPr>
                </pic:pic>
              </a:graphicData>
            </a:graphic>
          </wp:inline>
        </w:drawing>
      </w:r>
      <w:r w:rsidR="00A30B10">
        <w:rPr>
          <w:iCs/>
          <w:sz w:val="19"/>
          <w:szCs w:val="19"/>
        </w:rPr>
        <w:t xml:space="preserve">            </w:t>
      </w:r>
      <w:r w:rsidR="00A30B10" w:rsidRPr="00A30B10">
        <w:rPr>
          <w:iCs/>
          <w:noProof/>
          <w:sz w:val="19"/>
          <w:szCs w:val="19"/>
          <w:lang w:eastAsia="en-GB"/>
        </w:rPr>
        <w:drawing>
          <wp:inline distT="0" distB="0" distL="0" distR="0">
            <wp:extent cx="787923" cy="714375"/>
            <wp:effectExtent l="19050" t="0" r="0" b="0"/>
            <wp:docPr id="4" name="Picture 4" descr="Cardi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ff.jpg"/>
                    <pic:cNvPicPr/>
                  </pic:nvPicPr>
                  <pic:blipFill>
                    <a:blip r:embed="rId9" cstate="print"/>
                    <a:stretch>
                      <a:fillRect/>
                    </a:stretch>
                  </pic:blipFill>
                  <pic:spPr>
                    <a:xfrm>
                      <a:off x="0" y="0"/>
                      <a:ext cx="788606" cy="714994"/>
                    </a:xfrm>
                    <a:prstGeom prst="rect">
                      <a:avLst/>
                    </a:prstGeom>
                  </pic:spPr>
                </pic:pic>
              </a:graphicData>
            </a:graphic>
          </wp:inline>
        </w:drawing>
      </w:r>
      <w:r w:rsidR="00A30B10">
        <w:rPr>
          <w:iCs/>
          <w:sz w:val="19"/>
          <w:szCs w:val="19"/>
        </w:rPr>
        <w:t xml:space="preserve">                          </w:t>
      </w:r>
      <w:r w:rsidR="00A30B10" w:rsidRPr="00A30B10">
        <w:rPr>
          <w:iCs/>
          <w:noProof/>
          <w:sz w:val="19"/>
          <w:szCs w:val="19"/>
          <w:lang w:eastAsia="en-GB"/>
        </w:rPr>
        <w:drawing>
          <wp:inline distT="0" distB="0" distL="0" distR="0">
            <wp:extent cx="552450" cy="619125"/>
            <wp:effectExtent l="19050" t="0" r="0" b="0"/>
            <wp:docPr id="6" name="Picture 1" descr="Nuffield College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ffield College Logo">
                      <a:hlinkClick r:id="rId10"/>
                    </pic:cNvPr>
                    <pic:cNvPicPr>
                      <a:picLocks noChangeAspect="1" noChangeArrowheads="1"/>
                    </pic:cNvPicPr>
                  </pic:nvPicPr>
                  <pic:blipFill>
                    <a:blip r:embed="rId11" cstate="print"/>
                    <a:srcRect/>
                    <a:stretch>
                      <a:fillRect/>
                    </a:stretch>
                  </pic:blipFill>
                  <pic:spPr bwMode="auto">
                    <a:xfrm>
                      <a:off x="0" y="0"/>
                      <a:ext cx="552450" cy="619125"/>
                    </a:xfrm>
                    <a:prstGeom prst="rect">
                      <a:avLst/>
                    </a:prstGeom>
                    <a:noFill/>
                    <a:ln w="9525">
                      <a:noFill/>
                      <a:miter lim="800000"/>
                      <a:headEnd/>
                      <a:tailEnd/>
                    </a:ln>
                  </pic:spPr>
                </pic:pic>
              </a:graphicData>
            </a:graphic>
          </wp:inline>
        </w:drawing>
      </w:r>
    </w:p>
    <w:p w:rsidR="001D3421" w:rsidRPr="00A30B10" w:rsidRDefault="001D3421" w:rsidP="00CF45DC">
      <w:pPr>
        <w:rPr>
          <w:iCs/>
          <w:sz w:val="19"/>
          <w:szCs w:val="19"/>
        </w:rPr>
      </w:pPr>
    </w:p>
    <w:p w:rsidR="00A30B10" w:rsidRDefault="001D3421" w:rsidP="001D3421">
      <w:pPr>
        <w:jc w:val="center"/>
        <w:rPr>
          <w:b/>
        </w:rPr>
      </w:pPr>
      <w:r>
        <w:rPr>
          <w:b/>
        </w:rPr>
        <w:t xml:space="preserve">                                                                                                </w:t>
      </w:r>
    </w:p>
    <w:p w:rsidR="00A30B10" w:rsidRDefault="00A30B10" w:rsidP="001D3421">
      <w:pPr>
        <w:jc w:val="center"/>
        <w:rPr>
          <w:b/>
        </w:rPr>
      </w:pPr>
    </w:p>
    <w:p w:rsidR="007C4417" w:rsidRDefault="007C4417" w:rsidP="00E327B5">
      <w:pPr>
        <w:rPr>
          <w:b/>
        </w:rPr>
      </w:pPr>
    </w:p>
    <w:p w:rsidR="00FB1A13" w:rsidRDefault="00893CB9" w:rsidP="00470744">
      <w:pPr>
        <w:jc w:val="center"/>
        <w:rPr>
          <w:b/>
        </w:rPr>
      </w:pPr>
      <w:r>
        <w:rPr>
          <w:b/>
        </w:rPr>
        <w:lastRenderedPageBreak/>
        <w:t>SKILLS AND EMPLOYMENT SURVEY 2012:</w:t>
      </w:r>
    </w:p>
    <w:p w:rsidR="00893CB9" w:rsidRDefault="00893CB9" w:rsidP="00470744">
      <w:pPr>
        <w:jc w:val="center"/>
        <w:rPr>
          <w:b/>
        </w:rPr>
      </w:pPr>
      <w:r>
        <w:rPr>
          <w:b/>
        </w:rPr>
        <w:t>TECHNICAL BRIEFING</w:t>
      </w:r>
    </w:p>
    <w:p w:rsidR="00893CB9" w:rsidRDefault="00893CB9" w:rsidP="00470744">
      <w:pPr>
        <w:jc w:val="both"/>
        <w:rPr>
          <w:b/>
        </w:rPr>
      </w:pPr>
    </w:p>
    <w:p w:rsidR="00893CB9" w:rsidRPr="00D44A21" w:rsidRDefault="00893CB9" w:rsidP="00470744">
      <w:pPr>
        <w:pStyle w:val="ListParagraph"/>
        <w:numPr>
          <w:ilvl w:val="0"/>
          <w:numId w:val="2"/>
        </w:numPr>
        <w:spacing w:after="0"/>
        <w:ind w:left="360" w:right="389"/>
        <w:jc w:val="both"/>
        <w:rPr>
          <w:rFonts w:ascii="Times New Roman" w:hAnsi="Times New Roman"/>
          <w:b/>
          <w:sz w:val="24"/>
          <w:szCs w:val="24"/>
        </w:rPr>
      </w:pPr>
      <w:r w:rsidRPr="00D44A21">
        <w:rPr>
          <w:rFonts w:ascii="Times New Roman" w:hAnsi="Times New Roman"/>
          <w:b/>
          <w:sz w:val="24"/>
          <w:szCs w:val="24"/>
        </w:rPr>
        <w:t>Outline of Briefing</w:t>
      </w:r>
    </w:p>
    <w:p w:rsidR="00893CB9" w:rsidRDefault="00893CB9" w:rsidP="00470744">
      <w:pPr>
        <w:jc w:val="both"/>
        <w:rPr>
          <w:szCs w:val="24"/>
        </w:rPr>
      </w:pPr>
    </w:p>
    <w:p w:rsidR="00153031" w:rsidRDefault="009E4D78" w:rsidP="00470744">
      <w:pPr>
        <w:jc w:val="both"/>
        <w:rPr>
          <w:szCs w:val="24"/>
        </w:rPr>
      </w:pPr>
      <w:r>
        <w:rPr>
          <w:szCs w:val="24"/>
        </w:rPr>
        <w:t>The aim of this Briefing i</w:t>
      </w:r>
      <w:r w:rsidR="00952337">
        <w:rPr>
          <w:szCs w:val="24"/>
        </w:rPr>
        <w:t xml:space="preserve">s two-fold.  First, </w:t>
      </w:r>
      <w:r w:rsidR="00153031">
        <w:rPr>
          <w:szCs w:val="24"/>
        </w:rPr>
        <w:t>it</w:t>
      </w:r>
      <w:r>
        <w:rPr>
          <w:szCs w:val="24"/>
        </w:rPr>
        <w:t xml:space="preserve"> provide</w:t>
      </w:r>
      <w:r w:rsidR="00153031">
        <w:rPr>
          <w:szCs w:val="24"/>
        </w:rPr>
        <w:t>s</w:t>
      </w:r>
      <w:r>
        <w:rPr>
          <w:szCs w:val="24"/>
        </w:rPr>
        <w:t xml:space="preserve"> data users with a concise</w:t>
      </w:r>
      <w:r w:rsidR="00952337">
        <w:rPr>
          <w:szCs w:val="24"/>
        </w:rPr>
        <w:t xml:space="preserve"> and succinct outline</w:t>
      </w:r>
      <w:r>
        <w:rPr>
          <w:szCs w:val="24"/>
        </w:rPr>
        <w:t xml:space="preserve"> of the</w:t>
      </w:r>
      <w:r w:rsidR="00952337">
        <w:rPr>
          <w:szCs w:val="24"/>
        </w:rPr>
        <w:t xml:space="preserve"> fieldwork protocols and outcomes used to produce the</w:t>
      </w:r>
      <w:r>
        <w:rPr>
          <w:szCs w:val="24"/>
        </w:rPr>
        <w:t xml:space="preserve"> Skills and Employment Survey 2012 (SES2012</w:t>
      </w:r>
      <w:r w:rsidR="00153031">
        <w:rPr>
          <w:szCs w:val="24"/>
        </w:rPr>
        <w:t>).  A fuller account can be found in the Technical Report provided by GfK-N</w:t>
      </w:r>
      <w:r w:rsidR="0068173B">
        <w:rPr>
          <w:szCs w:val="24"/>
        </w:rPr>
        <w:t>OP which is</w:t>
      </w:r>
      <w:r w:rsidR="00153031">
        <w:rPr>
          <w:szCs w:val="24"/>
        </w:rPr>
        <w:t xml:space="preserve"> available on the project web site.</w:t>
      </w:r>
      <w:r w:rsidR="00153031">
        <w:rPr>
          <w:rStyle w:val="FootnoteReference"/>
          <w:szCs w:val="24"/>
        </w:rPr>
        <w:footnoteReference w:id="1"/>
      </w:r>
      <w:r w:rsidR="00153031">
        <w:rPr>
          <w:szCs w:val="24"/>
        </w:rPr>
        <w:t xml:space="preserve">  Secondly, it offers a</w:t>
      </w:r>
      <w:r w:rsidR="00952337">
        <w:rPr>
          <w:szCs w:val="24"/>
        </w:rPr>
        <w:t xml:space="preserve"> full account of how the weights supplied with the integrated dataset were derived.</w:t>
      </w:r>
      <w:r w:rsidR="00D66E09">
        <w:rPr>
          <w:szCs w:val="24"/>
        </w:rPr>
        <w:t xml:space="preserve">  This is information that can only be found in this Technical Briefing.</w:t>
      </w:r>
    </w:p>
    <w:p w:rsidR="00153031" w:rsidRDefault="00153031" w:rsidP="00470744">
      <w:pPr>
        <w:jc w:val="both"/>
        <w:rPr>
          <w:szCs w:val="24"/>
        </w:rPr>
      </w:pPr>
    </w:p>
    <w:p w:rsidR="00153031" w:rsidRDefault="00153031" w:rsidP="00470744">
      <w:pPr>
        <w:jc w:val="both"/>
        <w:rPr>
          <w:szCs w:val="24"/>
        </w:rPr>
      </w:pPr>
      <w:r>
        <w:rPr>
          <w:szCs w:val="24"/>
        </w:rPr>
        <w:t>The Briefing covers:</w:t>
      </w:r>
    </w:p>
    <w:p w:rsidR="00153031" w:rsidRDefault="00153031" w:rsidP="00470744">
      <w:pPr>
        <w:jc w:val="both"/>
        <w:rPr>
          <w:szCs w:val="24"/>
        </w:rPr>
      </w:pPr>
    </w:p>
    <w:p w:rsidR="00153031" w:rsidRPr="00153031" w:rsidRDefault="00153031" w:rsidP="00470744">
      <w:pPr>
        <w:pStyle w:val="ListParagraph"/>
        <w:numPr>
          <w:ilvl w:val="0"/>
          <w:numId w:val="6"/>
        </w:numPr>
        <w:spacing w:after="0"/>
        <w:ind w:right="389"/>
        <w:jc w:val="both"/>
        <w:rPr>
          <w:rFonts w:ascii="Times New Roman" w:hAnsi="Times New Roman"/>
          <w:sz w:val="24"/>
          <w:szCs w:val="24"/>
        </w:rPr>
      </w:pPr>
      <w:r w:rsidRPr="00153031">
        <w:rPr>
          <w:rFonts w:ascii="Times New Roman" w:hAnsi="Times New Roman"/>
          <w:sz w:val="24"/>
          <w:szCs w:val="24"/>
        </w:rPr>
        <w:t>the background to the survey;</w:t>
      </w:r>
    </w:p>
    <w:p w:rsidR="00153031" w:rsidRPr="00153031" w:rsidRDefault="00153031" w:rsidP="00470744">
      <w:pPr>
        <w:pStyle w:val="ListParagraph"/>
        <w:numPr>
          <w:ilvl w:val="0"/>
          <w:numId w:val="6"/>
        </w:numPr>
        <w:spacing w:after="0"/>
        <w:ind w:right="389"/>
        <w:jc w:val="both"/>
        <w:rPr>
          <w:rFonts w:ascii="Times New Roman" w:hAnsi="Times New Roman"/>
          <w:sz w:val="24"/>
          <w:szCs w:val="24"/>
        </w:rPr>
      </w:pPr>
      <w:r w:rsidRPr="00153031">
        <w:rPr>
          <w:rFonts w:ascii="Times New Roman" w:hAnsi="Times New Roman"/>
          <w:sz w:val="24"/>
          <w:szCs w:val="24"/>
        </w:rPr>
        <w:t>the sample design;</w:t>
      </w:r>
    </w:p>
    <w:p w:rsidR="00153031" w:rsidRPr="00153031" w:rsidRDefault="00153031" w:rsidP="00470744">
      <w:pPr>
        <w:pStyle w:val="ListParagraph"/>
        <w:numPr>
          <w:ilvl w:val="0"/>
          <w:numId w:val="6"/>
        </w:numPr>
        <w:spacing w:after="0"/>
        <w:ind w:right="389"/>
        <w:jc w:val="both"/>
        <w:rPr>
          <w:rFonts w:ascii="Times New Roman" w:hAnsi="Times New Roman"/>
          <w:sz w:val="24"/>
          <w:szCs w:val="24"/>
        </w:rPr>
      </w:pPr>
      <w:r w:rsidRPr="00153031">
        <w:rPr>
          <w:rFonts w:ascii="Times New Roman" w:hAnsi="Times New Roman"/>
          <w:sz w:val="24"/>
          <w:szCs w:val="24"/>
        </w:rPr>
        <w:t>the</w:t>
      </w:r>
      <w:r w:rsidR="0068173B">
        <w:rPr>
          <w:rFonts w:ascii="Times New Roman" w:hAnsi="Times New Roman"/>
          <w:sz w:val="24"/>
          <w:szCs w:val="24"/>
        </w:rPr>
        <w:t xml:space="preserve"> data collection and fieldwork outcome</w:t>
      </w:r>
      <w:r w:rsidRPr="00153031">
        <w:rPr>
          <w:rFonts w:ascii="Times New Roman" w:hAnsi="Times New Roman"/>
          <w:sz w:val="24"/>
          <w:szCs w:val="24"/>
        </w:rPr>
        <w:t>s;</w:t>
      </w:r>
    </w:p>
    <w:p w:rsidR="006742C5" w:rsidRDefault="0068173B" w:rsidP="00470744">
      <w:pPr>
        <w:pStyle w:val="ListParagraph"/>
        <w:numPr>
          <w:ilvl w:val="0"/>
          <w:numId w:val="6"/>
        </w:numPr>
        <w:spacing w:after="0"/>
        <w:ind w:right="389"/>
        <w:jc w:val="both"/>
        <w:rPr>
          <w:rFonts w:ascii="Times New Roman" w:hAnsi="Times New Roman"/>
          <w:sz w:val="24"/>
          <w:szCs w:val="24"/>
        </w:rPr>
      </w:pPr>
      <w:r>
        <w:rPr>
          <w:rFonts w:ascii="Times New Roman" w:hAnsi="Times New Roman"/>
          <w:sz w:val="24"/>
          <w:szCs w:val="24"/>
        </w:rPr>
        <w:t xml:space="preserve">the </w:t>
      </w:r>
      <w:r w:rsidR="00153031" w:rsidRPr="00153031">
        <w:rPr>
          <w:rFonts w:ascii="Times New Roman" w:hAnsi="Times New Roman"/>
          <w:sz w:val="24"/>
          <w:szCs w:val="24"/>
        </w:rPr>
        <w:t>representativeness of SES2012 and its predecessors, and the weighting p</w:t>
      </w:r>
      <w:r w:rsidR="00D66E09">
        <w:rPr>
          <w:rFonts w:ascii="Times New Roman" w:hAnsi="Times New Roman"/>
          <w:sz w:val="24"/>
          <w:szCs w:val="24"/>
        </w:rPr>
        <w:t>rocedures adopted to address</w:t>
      </w:r>
      <w:r w:rsidR="00153031" w:rsidRPr="00153031">
        <w:rPr>
          <w:rFonts w:ascii="Times New Roman" w:hAnsi="Times New Roman"/>
          <w:sz w:val="24"/>
          <w:szCs w:val="24"/>
        </w:rPr>
        <w:t xml:space="preserve"> design and non-response effects</w:t>
      </w:r>
      <w:r w:rsidR="006742C5">
        <w:rPr>
          <w:rFonts w:ascii="Times New Roman" w:hAnsi="Times New Roman"/>
          <w:sz w:val="24"/>
          <w:szCs w:val="24"/>
        </w:rPr>
        <w:t>;</w:t>
      </w:r>
    </w:p>
    <w:p w:rsidR="009E4D78" w:rsidRPr="00153031" w:rsidRDefault="006742C5" w:rsidP="00470744">
      <w:pPr>
        <w:pStyle w:val="ListParagraph"/>
        <w:numPr>
          <w:ilvl w:val="0"/>
          <w:numId w:val="6"/>
        </w:numPr>
        <w:spacing w:after="0"/>
        <w:ind w:right="389"/>
        <w:jc w:val="both"/>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summary of the survey’s main features</w:t>
      </w:r>
      <w:r w:rsidR="00153031" w:rsidRPr="00153031">
        <w:rPr>
          <w:rFonts w:ascii="Times New Roman" w:hAnsi="Times New Roman"/>
          <w:sz w:val="24"/>
          <w:szCs w:val="24"/>
        </w:rPr>
        <w:t>.</w:t>
      </w:r>
      <w:r w:rsidR="00952337" w:rsidRPr="00153031">
        <w:rPr>
          <w:rFonts w:ascii="Times New Roman" w:hAnsi="Times New Roman"/>
          <w:sz w:val="24"/>
          <w:szCs w:val="24"/>
        </w:rPr>
        <w:t xml:space="preserve"> </w:t>
      </w:r>
    </w:p>
    <w:p w:rsidR="009E4D78" w:rsidRDefault="009E4D78" w:rsidP="00470744">
      <w:pPr>
        <w:jc w:val="both"/>
        <w:rPr>
          <w:szCs w:val="24"/>
        </w:rPr>
      </w:pPr>
    </w:p>
    <w:p w:rsidR="00153031" w:rsidRDefault="007C4417" w:rsidP="00470744">
      <w:pPr>
        <w:jc w:val="both"/>
        <w:rPr>
          <w:szCs w:val="24"/>
        </w:rPr>
      </w:pPr>
      <w:r>
        <w:rPr>
          <w:szCs w:val="24"/>
        </w:rPr>
        <w:t>Each section in the Briefing covers each of these themes in turn.</w:t>
      </w:r>
    </w:p>
    <w:p w:rsidR="00153031" w:rsidRPr="00D44A21" w:rsidRDefault="00153031" w:rsidP="00470744">
      <w:pPr>
        <w:jc w:val="both"/>
        <w:rPr>
          <w:szCs w:val="24"/>
        </w:rPr>
      </w:pPr>
    </w:p>
    <w:p w:rsidR="00893CB9" w:rsidRPr="00D44A21" w:rsidRDefault="00893CB9" w:rsidP="00470744">
      <w:pPr>
        <w:pStyle w:val="ListParagraph"/>
        <w:numPr>
          <w:ilvl w:val="0"/>
          <w:numId w:val="2"/>
        </w:numPr>
        <w:spacing w:after="0"/>
        <w:ind w:left="360" w:right="389"/>
        <w:jc w:val="both"/>
        <w:rPr>
          <w:rFonts w:ascii="Times New Roman" w:hAnsi="Times New Roman"/>
          <w:b/>
          <w:sz w:val="24"/>
          <w:szCs w:val="24"/>
        </w:rPr>
      </w:pPr>
      <w:r w:rsidRPr="00D44A21">
        <w:rPr>
          <w:rFonts w:ascii="Times New Roman" w:hAnsi="Times New Roman"/>
          <w:b/>
          <w:sz w:val="24"/>
          <w:szCs w:val="24"/>
        </w:rPr>
        <w:t>Background to Survey</w:t>
      </w:r>
    </w:p>
    <w:p w:rsidR="00893CB9" w:rsidRDefault="00893CB9" w:rsidP="00470744">
      <w:pPr>
        <w:jc w:val="both"/>
        <w:rPr>
          <w:szCs w:val="24"/>
        </w:rPr>
      </w:pPr>
    </w:p>
    <w:p w:rsidR="006F22CA" w:rsidRDefault="005712E2" w:rsidP="00470744">
      <w:pPr>
        <w:pStyle w:val="BodyText"/>
        <w:ind w:right="389"/>
        <w:rPr>
          <w:rFonts w:ascii="Times New Roman" w:hAnsi="Times New Roman"/>
          <w:szCs w:val="24"/>
        </w:rPr>
      </w:pPr>
      <w:r>
        <w:rPr>
          <w:rFonts w:ascii="Times New Roman" w:hAnsi="Times New Roman"/>
          <w:szCs w:val="24"/>
        </w:rPr>
        <w:t>SES2012 is the seventh</w:t>
      </w:r>
      <w:r w:rsidR="006F22CA" w:rsidRPr="00D876AE">
        <w:rPr>
          <w:rFonts w:ascii="Times New Roman" w:hAnsi="Times New Roman"/>
          <w:szCs w:val="24"/>
        </w:rPr>
        <w:t xml:space="preserve"> in a series of nationally representative sample surveys of individuals in employment aged 20-60 years old (although the 2006 and 2012 surveys additionally sampled those aged 61-65).  Each comprises a large number of respondents: 4,047 in 1986 survey; 3,855 in 1992; 2,467 in 1997; 4,470 in 2001; 7,787 in 2006 individuals; and 3,200 in 2012.  Where relevant, the series also includes Working in Britain which was carried out in 2000 and contains 2,466 respondents.</w:t>
      </w:r>
    </w:p>
    <w:p w:rsidR="00E331D7" w:rsidRDefault="00E331D7" w:rsidP="00470744">
      <w:pPr>
        <w:pStyle w:val="BodyText"/>
        <w:ind w:right="389"/>
        <w:rPr>
          <w:rFonts w:ascii="Times New Roman" w:hAnsi="Times New Roman"/>
          <w:szCs w:val="24"/>
        </w:rPr>
      </w:pPr>
    </w:p>
    <w:p w:rsidR="00E331D7" w:rsidRPr="00307EE7" w:rsidRDefault="00E331D7" w:rsidP="00470744">
      <w:pPr>
        <w:jc w:val="both"/>
        <w:rPr>
          <w:szCs w:val="24"/>
          <w:lang w:eastAsia="en-GB"/>
        </w:rPr>
      </w:pPr>
      <w:r w:rsidRPr="00307EE7">
        <w:rPr>
          <w:szCs w:val="24"/>
          <w:lang w:eastAsia="en-GB"/>
        </w:rPr>
        <w:t>The project</w:t>
      </w:r>
      <w:r w:rsidR="00DB4C9C">
        <w:rPr>
          <w:szCs w:val="24"/>
          <w:lang w:eastAsia="en-GB"/>
        </w:rPr>
        <w:t xml:space="preserve"> to carry out the 2012 survey</w:t>
      </w:r>
      <w:r w:rsidRPr="00307EE7">
        <w:rPr>
          <w:szCs w:val="24"/>
          <w:lang w:eastAsia="en-GB"/>
        </w:rPr>
        <w:t xml:space="preserve"> was funded by the Economic and Social Research Council (ESRC) and the UK Commission for Employment and Skills (UKCES)</w:t>
      </w:r>
      <w:r w:rsidR="00DB4C9C">
        <w:rPr>
          <w:szCs w:val="24"/>
          <w:lang w:eastAsia="en-GB"/>
        </w:rPr>
        <w:t xml:space="preserve"> under its Strategic P</w:t>
      </w:r>
      <w:r w:rsidRPr="00307EE7">
        <w:rPr>
          <w:szCs w:val="24"/>
          <w:lang w:eastAsia="en-GB"/>
        </w:rPr>
        <w:t>artnership.</w:t>
      </w:r>
      <w:r w:rsidR="00DB4C9C">
        <w:rPr>
          <w:rStyle w:val="FootnoteReference"/>
          <w:szCs w:val="24"/>
          <w:lang w:eastAsia="en-GB"/>
        </w:rPr>
        <w:footnoteReference w:id="2"/>
      </w:r>
      <w:r w:rsidRPr="00307EE7">
        <w:rPr>
          <w:szCs w:val="24"/>
          <w:lang w:eastAsia="en-GB"/>
        </w:rPr>
        <w:t xml:space="preserve">  In addition, the Wales Institute of Social and Economic Research, Data and Methods (WISERD)</w:t>
      </w:r>
      <w:r w:rsidRPr="00307EE7">
        <w:rPr>
          <w:szCs w:val="24"/>
          <w:vertAlign w:val="superscript"/>
          <w:lang w:eastAsia="en-GB"/>
        </w:rPr>
        <w:footnoteReference w:id="3"/>
      </w:r>
      <w:r w:rsidRPr="00307EE7">
        <w:rPr>
          <w:szCs w:val="24"/>
          <w:lang w:eastAsia="en-GB"/>
        </w:rPr>
        <w:t xml:space="preserve"> funded a boost to the sample in Wales.</w:t>
      </w:r>
    </w:p>
    <w:p w:rsidR="00E331D7" w:rsidRPr="00307EE7" w:rsidRDefault="00E331D7" w:rsidP="00470744">
      <w:pPr>
        <w:jc w:val="both"/>
        <w:rPr>
          <w:szCs w:val="24"/>
          <w:lang w:eastAsia="en-GB"/>
        </w:rPr>
      </w:pPr>
      <w:r w:rsidRPr="00307EE7">
        <w:rPr>
          <w:szCs w:val="24"/>
          <w:lang w:eastAsia="en-GB"/>
        </w:rPr>
        <w:t> </w:t>
      </w:r>
    </w:p>
    <w:p w:rsidR="00E331D7" w:rsidRPr="00307EE7" w:rsidRDefault="00DB4C9C" w:rsidP="00470744">
      <w:pPr>
        <w:jc w:val="both"/>
        <w:rPr>
          <w:szCs w:val="24"/>
          <w:lang w:eastAsia="en-GB"/>
        </w:rPr>
      </w:pPr>
      <w:r>
        <w:rPr>
          <w:szCs w:val="24"/>
          <w:lang w:eastAsia="en-GB"/>
        </w:rPr>
        <w:t>Although the series</w:t>
      </w:r>
      <w:r w:rsidR="00E331D7" w:rsidRPr="00307EE7">
        <w:rPr>
          <w:szCs w:val="24"/>
          <w:lang w:eastAsia="en-GB"/>
        </w:rPr>
        <w:t xml:space="preserve"> has been running in some format since 1986, the </w:t>
      </w:r>
      <w:r>
        <w:rPr>
          <w:szCs w:val="24"/>
          <w:lang w:eastAsia="en-GB"/>
        </w:rPr>
        <w:t xml:space="preserve">1997 </w:t>
      </w:r>
      <w:r w:rsidR="0082260B">
        <w:rPr>
          <w:szCs w:val="24"/>
          <w:lang w:eastAsia="en-GB"/>
        </w:rPr>
        <w:t>survey</w:t>
      </w:r>
      <w:r w:rsidR="00E331D7" w:rsidRPr="00307EE7">
        <w:rPr>
          <w:szCs w:val="24"/>
          <w:lang w:eastAsia="en-GB"/>
        </w:rPr>
        <w:t xml:space="preserve"> was the first </w:t>
      </w:r>
      <w:r w:rsidR="0082260B">
        <w:rPr>
          <w:szCs w:val="24"/>
          <w:lang w:eastAsia="en-GB"/>
        </w:rPr>
        <w:t>to collect primarily data on skills</w:t>
      </w:r>
      <w:r>
        <w:rPr>
          <w:szCs w:val="24"/>
          <w:lang w:eastAsia="en-GB"/>
        </w:rPr>
        <w:t xml:space="preserve"> using the job requirements approach. This fo</w:t>
      </w:r>
      <w:r w:rsidR="00D16079">
        <w:rPr>
          <w:szCs w:val="24"/>
          <w:lang w:eastAsia="en-GB"/>
        </w:rPr>
        <w:t>cuses on collecting data on</w:t>
      </w:r>
      <w:r>
        <w:t xml:space="preserve"> objective indicators</w:t>
      </w:r>
      <w:r w:rsidR="00D16079">
        <w:t xml:space="preserve"> of job skill as</w:t>
      </w:r>
      <w:r>
        <w:t xml:space="preserve"> reported by respondents.</w:t>
      </w:r>
      <w:r w:rsidR="00E331D7" w:rsidRPr="00307EE7">
        <w:rPr>
          <w:szCs w:val="24"/>
          <w:lang w:eastAsia="en-GB"/>
        </w:rPr>
        <w:t xml:space="preserve"> The 2001 survey assessed how much had changed between the two surveys and a third survey in 2006 enhanced the time series data</w:t>
      </w:r>
      <w:r w:rsidR="00307EE7" w:rsidRPr="00307EE7">
        <w:rPr>
          <w:szCs w:val="24"/>
          <w:lang w:eastAsia="en-GB"/>
        </w:rPr>
        <w:t>,</w:t>
      </w:r>
      <w:r w:rsidR="00E331D7" w:rsidRPr="00307EE7">
        <w:rPr>
          <w:szCs w:val="24"/>
          <w:lang w:eastAsia="en-GB"/>
        </w:rPr>
        <w:t xml:space="preserve"> while</w:t>
      </w:r>
      <w:r w:rsidR="00AC2FB7">
        <w:rPr>
          <w:szCs w:val="24"/>
          <w:lang w:eastAsia="en-GB"/>
        </w:rPr>
        <w:t xml:space="preserve"> providing a resource for analyz</w:t>
      </w:r>
      <w:r w:rsidR="00E331D7" w:rsidRPr="00307EE7">
        <w:rPr>
          <w:szCs w:val="24"/>
          <w:lang w:eastAsia="en-GB"/>
        </w:rPr>
        <w:t>ing skill and job requirements in the British economy at that time.  The 2012 survey aimed to again add to the time series data and, coinciding as it did with a per</w:t>
      </w:r>
      <w:r w:rsidR="00307EE7" w:rsidRPr="00307EE7">
        <w:rPr>
          <w:szCs w:val="24"/>
          <w:lang w:eastAsia="en-GB"/>
        </w:rPr>
        <w:t>iod of economic recession,</w:t>
      </w:r>
      <w:r w:rsidR="00E331D7" w:rsidRPr="00307EE7">
        <w:rPr>
          <w:szCs w:val="24"/>
          <w:lang w:eastAsia="en-GB"/>
        </w:rPr>
        <w:t xml:space="preserve"> </w:t>
      </w:r>
      <w:r w:rsidR="00E331D7" w:rsidRPr="00307EE7">
        <w:rPr>
          <w:szCs w:val="24"/>
          <w:lang w:eastAsia="en-GB"/>
        </w:rPr>
        <w:lastRenderedPageBreak/>
        <w:t>to provide i</w:t>
      </w:r>
      <w:r w:rsidR="00307EE7" w:rsidRPr="00307EE7">
        <w:rPr>
          <w:szCs w:val="24"/>
          <w:lang w:eastAsia="en-GB"/>
        </w:rPr>
        <w:t>nsight into whether workers in Britain</w:t>
      </w:r>
      <w:r w:rsidR="00E331D7" w:rsidRPr="00307EE7">
        <w:rPr>
          <w:szCs w:val="24"/>
          <w:lang w:eastAsia="en-GB"/>
        </w:rPr>
        <w:t xml:space="preserve"> felt under additional pressure/demand from employers as a result of redundancies and cut backs.</w:t>
      </w:r>
    </w:p>
    <w:p w:rsidR="00135056" w:rsidRPr="00307EE7" w:rsidRDefault="00135056" w:rsidP="00470744">
      <w:pPr>
        <w:jc w:val="both"/>
        <w:rPr>
          <w:szCs w:val="24"/>
          <w:lang w:eastAsia="en-GB"/>
        </w:rPr>
      </w:pPr>
    </w:p>
    <w:p w:rsidR="00135056" w:rsidRPr="00307EE7" w:rsidRDefault="00135056" w:rsidP="00470744">
      <w:pPr>
        <w:jc w:val="both"/>
        <w:rPr>
          <w:szCs w:val="24"/>
          <w:lang w:eastAsia="en-GB"/>
        </w:rPr>
      </w:pPr>
      <w:r w:rsidRPr="00307EE7">
        <w:rPr>
          <w:szCs w:val="24"/>
          <w:lang w:eastAsia="en-GB"/>
        </w:rPr>
        <w:t>In addition, surveys on employment were also carried out in 1986, 1992 and 2000.  These surveys also form part of this integrated data series.</w:t>
      </w:r>
      <w:r w:rsidR="00E302EA">
        <w:rPr>
          <w:szCs w:val="24"/>
          <w:lang w:eastAsia="en-GB"/>
        </w:rPr>
        <w:t xml:space="preserve">  They are known as: the Social Change and Economic Life Initiative (SCELI); Employment in Britain (EIB); and Working in Britain (WIB)</w:t>
      </w:r>
      <w:r w:rsidR="0082260B">
        <w:rPr>
          <w:szCs w:val="24"/>
          <w:lang w:eastAsia="en-GB"/>
        </w:rPr>
        <w:t xml:space="preserve"> respectively</w:t>
      </w:r>
      <w:r w:rsidR="00E302EA">
        <w:rPr>
          <w:szCs w:val="24"/>
          <w:lang w:eastAsia="en-GB"/>
        </w:rPr>
        <w:t>.</w:t>
      </w:r>
    </w:p>
    <w:p w:rsidR="009E4D78" w:rsidRPr="00D44A21" w:rsidRDefault="009E4D78" w:rsidP="00470744">
      <w:pPr>
        <w:jc w:val="both"/>
        <w:rPr>
          <w:szCs w:val="24"/>
        </w:rPr>
      </w:pPr>
    </w:p>
    <w:p w:rsidR="00893CB9" w:rsidRPr="006A324F" w:rsidRDefault="00893CB9" w:rsidP="00470744">
      <w:pPr>
        <w:pStyle w:val="ListParagraph"/>
        <w:numPr>
          <w:ilvl w:val="0"/>
          <w:numId w:val="2"/>
        </w:numPr>
        <w:spacing w:after="0"/>
        <w:ind w:left="360" w:right="389"/>
        <w:jc w:val="both"/>
        <w:rPr>
          <w:rFonts w:ascii="Times New Roman" w:hAnsi="Times New Roman"/>
          <w:b/>
          <w:sz w:val="24"/>
          <w:szCs w:val="24"/>
        </w:rPr>
      </w:pPr>
      <w:r w:rsidRPr="006A324F">
        <w:rPr>
          <w:rFonts w:ascii="Times New Roman" w:hAnsi="Times New Roman"/>
          <w:b/>
          <w:sz w:val="24"/>
          <w:szCs w:val="24"/>
        </w:rPr>
        <w:t>Sample Design</w:t>
      </w:r>
    </w:p>
    <w:p w:rsidR="00893CB9" w:rsidRPr="006A324F" w:rsidRDefault="00893CB9" w:rsidP="00470744">
      <w:pPr>
        <w:jc w:val="both"/>
        <w:rPr>
          <w:szCs w:val="24"/>
        </w:rPr>
      </w:pPr>
    </w:p>
    <w:p w:rsidR="00707C74" w:rsidRPr="008C1AB9" w:rsidRDefault="00D16079" w:rsidP="00470744">
      <w:pPr>
        <w:jc w:val="both"/>
        <w:rPr>
          <w:szCs w:val="24"/>
        </w:rPr>
      </w:pPr>
      <w:r>
        <w:rPr>
          <w:szCs w:val="24"/>
        </w:rPr>
        <w:t>The</w:t>
      </w:r>
      <w:r w:rsidR="00707C74" w:rsidRPr="008C1AB9">
        <w:rPr>
          <w:szCs w:val="24"/>
        </w:rPr>
        <w:t xml:space="preserve"> sample for the </w:t>
      </w:r>
      <w:r>
        <w:rPr>
          <w:szCs w:val="24"/>
        </w:rPr>
        <w:t xml:space="preserve">2012 </w:t>
      </w:r>
      <w:r w:rsidR="00707C74" w:rsidRPr="008C1AB9">
        <w:rPr>
          <w:szCs w:val="24"/>
        </w:rPr>
        <w:t>survey was 3,200 peo</w:t>
      </w:r>
      <w:r w:rsidR="0082260B">
        <w:rPr>
          <w:szCs w:val="24"/>
        </w:rPr>
        <w:t xml:space="preserve">ple in paid employment in </w:t>
      </w:r>
      <w:r w:rsidR="00707C74" w:rsidRPr="008C1AB9">
        <w:rPr>
          <w:szCs w:val="24"/>
        </w:rPr>
        <w:t xml:space="preserve">Britain, south of the Caledonian Canal. The sample comprised two elements: the core of people in paid employment in </w:t>
      </w:r>
      <w:r w:rsidR="0082260B">
        <w:rPr>
          <w:szCs w:val="24"/>
        </w:rPr>
        <w:t>Britain</w:t>
      </w:r>
      <w:r w:rsidR="0039417A">
        <w:rPr>
          <w:szCs w:val="24"/>
        </w:rPr>
        <w:t xml:space="preserve"> (2,782</w:t>
      </w:r>
      <w:r w:rsidR="00034066" w:rsidRPr="008C1AB9">
        <w:rPr>
          <w:szCs w:val="24"/>
        </w:rPr>
        <w:t>)</w:t>
      </w:r>
      <w:r w:rsidR="00707C74" w:rsidRPr="008C1AB9">
        <w:rPr>
          <w:szCs w:val="24"/>
        </w:rPr>
        <w:t>; and a boost for Wales</w:t>
      </w:r>
      <w:r w:rsidR="0039417A">
        <w:rPr>
          <w:szCs w:val="24"/>
        </w:rPr>
        <w:t xml:space="preserve"> (418</w:t>
      </w:r>
      <w:r w:rsidR="008C1AB9" w:rsidRPr="008C1AB9">
        <w:rPr>
          <w:szCs w:val="24"/>
        </w:rPr>
        <w:t>)</w:t>
      </w:r>
      <w:r w:rsidR="00707C74" w:rsidRPr="008C1AB9">
        <w:rPr>
          <w:szCs w:val="24"/>
        </w:rPr>
        <w:t>.</w:t>
      </w:r>
    </w:p>
    <w:p w:rsidR="00707C74" w:rsidRPr="008C1AB9" w:rsidRDefault="00707C74" w:rsidP="00470744">
      <w:pPr>
        <w:jc w:val="both"/>
        <w:rPr>
          <w:szCs w:val="24"/>
        </w:rPr>
      </w:pPr>
      <w:r w:rsidRPr="008C1AB9">
        <w:rPr>
          <w:szCs w:val="24"/>
        </w:rPr>
        <w:t xml:space="preserve">  </w:t>
      </w:r>
    </w:p>
    <w:p w:rsidR="006A324F" w:rsidRPr="008C1AB9" w:rsidRDefault="00D16079" w:rsidP="00470744">
      <w:pPr>
        <w:jc w:val="both"/>
        <w:rPr>
          <w:szCs w:val="24"/>
        </w:rPr>
      </w:pPr>
      <w:r>
        <w:rPr>
          <w:szCs w:val="24"/>
        </w:rPr>
        <w:t>The survey design aimed to provide a representative sample</w:t>
      </w:r>
      <w:r w:rsidR="006A324F" w:rsidRPr="008C1AB9">
        <w:rPr>
          <w:szCs w:val="24"/>
        </w:rPr>
        <w:t xml:space="preserve"> of people of working age living in private households in </w:t>
      </w:r>
      <w:r w:rsidR="0082260B">
        <w:rPr>
          <w:szCs w:val="24"/>
        </w:rPr>
        <w:t>Britain</w:t>
      </w:r>
      <w:r w:rsidR="006A324F" w:rsidRPr="008C1AB9">
        <w:rPr>
          <w:szCs w:val="24"/>
        </w:rPr>
        <w:t>. The eligibility criteria were as follows (these</w:t>
      </w:r>
      <w:r w:rsidR="0082260B">
        <w:rPr>
          <w:szCs w:val="24"/>
        </w:rPr>
        <w:t xml:space="preserve"> were</w:t>
      </w:r>
      <w:r w:rsidR="006A324F" w:rsidRPr="008C1AB9">
        <w:rPr>
          <w:szCs w:val="24"/>
        </w:rPr>
        <w:t xml:space="preserve"> applied at the time of </w:t>
      </w:r>
      <w:r w:rsidR="0082260B">
        <w:rPr>
          <w:szCs w:val="24"/>
        </w:rPr>
        <w:t xml:space="preserve">respondent </w:t>
      </w:r>
      <w:r w:rsidR="006A324F" w:rsidRPr="008C1AB9">
        <w:rPr>
          <w:szCs w:val="24"/>
        </w:rPr>
        <w:t xml:space="preserve">selection): </w:t>
      </w:r>
    </w:p>
    <w:p w:rsidR="006A324F" w:rsidRPr="008C1AB9" w:rsidRDefault="006A324F" w:rsidP="00470744">
      <w:pPr>
        <w:jc w:val="both"/>
        <w:rPr>
          <w:szCs w:val="24"/>
        </w:rPr>
      </w:pPr>
    </w:p>
    <w:p w:rsidR="006A324F" w:rsidRPr="008C1AB9" w:rsidRDefault="006A324F" w:rsidP="00470744">
      <w:pPr>
        <w:pStyle w:val="ListParagraph"/>
        <w:numPr>
          <w:ilvl w:val="0"/>
          <w:numId w:val="10"/>
        </w:numPr>
        <w:spacing w:after="0"/>
        <w:ind w:right="389"/>
        <w:jc w:val="both"/>
        <w:rPr>
          <w:rFonts w:ascii="Times New Roman" w:hAnsi="Times New Roman"/>
          <w:sz w:val="24"/>
          <w:szCs w:val="24"/>
          <w:lang w:eastAsia="en-GB"/>
        </w:rPr>
      </w:pPr>
      <w:r w:rsidRPr="008C1AB9">
        <w:rPr>
          <w:rFonts w:ascii="Times New Roman" w:hAnsi="Times New Roman"/>
          <w:sz w:val="24"/>
          <w:szCs w:val="24"/>
          <w:lang w:eastAsia="en-GB"/>
        </w:rPr>
        <w:t>aged between 20 and 65 years of age inclusive;</w:t>
      </w:r>
    </w:p>
    <w:p w:rsidR="006A324F" w:rsidRPr="008C1AB9" w:rsidRDefault="0082260B" w:rsidP="00470744">
      <w:pPr>
        <w:pStyle w:val="ListParagraph"/>
        <w:numPr>
          <w:ilvl w:val="0"/>
          <w:numId w:val="10"/>
        </w:numPr>
        <w:spacing w:after="0"/>
        <w:ind w:right="389"/>
        <w:jc w:val="both"/>
        <w:rPr>
          <w:rFonts w:ascii="Times New Roman" w:hAnsi="Times New Roman"/>
          <w:sz w:val="24"/>
          <w:szCs w:val="24"/>
          <w:lang w:eastAsia="en-GB"/>
        </w:rPr>
      </w:pPr>
      <w:proofErr w:type="gramStart"/>
      <w:r>
        <w:rPr>
          <w:rFonts w:ascii="Times New Roman" w:hAnsi="Times New Roman"/>
          <w:sz w:val="24"/>
          <w:szCs w:val="24"/>
          <w:lang w:eastAsia="en-GB"/>
        </w:rPr>
        <w:t>currently</w:t>
      </w:r>
      <w:proofErr w:type="gramEnd"/>
      <w:r>
        <w:rPr>
          <w:rFonts w:ascii="Times New Roman" w:hAnsi="Times New Roman"/>
          <w:sz w:val="24"/>
          <w:szCs w:val="24"/>
          <w:lang w:eastAsia="en-GB"/>
        </w:rPr>
        <w:t xml:space="preserve"> in a paid job for at least one</w:t>
      </w:r>
      <w:r w:rsidR="006A324F" w:rsidRPr="008C1AB9">
        <w:rPr>
          <w:rFonts w:ascii="Times New Roman" w:hAnsi="Times New Roman"/>
          <w:sz w:val="24"/>
          <w:szCs w:val="24"/>
          <w:lang w:eastAsia="en-GB"/>
        </w:rPr>
        <w:t xml:space="preserve"> hour a week.</w:t>
      </w:r>
    </w:p>
    <w:p w:rsidR="006A324F" w:rsidRPr="008C1AB9" w:rsidRDefault="006A324F" w:rsidP="00470744">
      <w:pPr>
        <w:jc w:val="both"/>
        <w:rPr>
          <w:szCs w:val="24"/>
          <w:lang w:eastAsia="en-GB"/>
        </w:rPr>
      </w:pPr>
    </w:p>
    <w:p w:rsidR="006A324F" w:rsidRPr="008C1AB9" w:rsidRDefault="006A324F" w:rsidP="00470744">
      <w:pPr>
        <w:jc w:val="both"/>
        <w:rPr>
          <w:szCs w:val="24"/>
        </w:rPr>
      </w:pPr>
      <w:r w:rsidRPr="008C1AB9">
        <w:rPr>
          <w:szCs w:val="24"/>
          <w:lang w:val="de-DE"/>
        </w:rPr>
        <w:t>Both employees and self-employed workers were eligible as long as they met the above criteria.</w:t>
      </w:r>
      <w:r w:rsidRPr="008C1AB9">
        <w:rPr>
          <w:color w:val="FF0000"/>
          <w:szCs w:val="24"/>
        </w:rPr>
        <w:t xml:space="preserve"> </w:t>
      </w:r>
      <w:r w:rsidRPr="008C1AB9">
        <w:rPr>
          <w:szCs w:val="24"/>
          <w:lang w:eastAsia="en-GB"/>
        </w:rPr>
        <w:t xml:space="preserve"> </w:t>
      </w:r>
      <w:r w:rsidRPr="008C1AB9">
        <w:rPr>
          <w:szCs w:val="24"/>
        </w:rPr>
        <w:t>The latest version of the small user Postcode Address File (PAF) was used as the sampling frame for the survey, as was also the case in 1997, 2001 and 2006.</w:t>
      </w:r>
    </w:p>
    <w:p w:rsidR="006A324F" w:rsidRPr="008C1AB9" w:rsidRDefault="006A324F" w:rsidP="00470744">
      <w:pPr>
        <w:jc w:val="both"/>
        <w:rPr>
          <w:szCs w:val="24"/>
        </w:rPr>
      </w:pPr>
    </w:p>
    <w:p w:rsidR="006A324F" w:rsidRPr="008C1AB9" w:rsidRDefault="006A324F" w:rsidP="00470744">
      <w:pPr>
        <w:jc w:val="both"/>
        <w:rPr>
          <w:szCs w:val="24"/>
          <w:lang w:val="de-DE"/>
        </w:rPr>
      </w:pPr>
      <w:r w:rsidRPr="008C1AB9">
        <w:rPr>
          <w:szCs w:val="24"/>
          <w:lang w:val="de-DE"/>
        </w:rPr>
        <w:t xml:space="preserve">As in 2006, a conventional multi-stage sample design was employed using postcode sectors as PSUs. In order to improve the precision of survey estimates, the sample of postcode sectors in the whole of </w:t>
      </w:r>
      <w:r w:rsidR="0082260B">
        <w:rPr>
          <w:szCs w:val="24"/>
          <w:lang w:val="de-DE"/>
        </w:rPr>
        <w:t>Britain</w:t>
      </w:r>
      <w:r w:rsidRPr="008C1AB9">
        <w:rPr>
          <w:szCs w:val="24"/>
          <w:lang w:val="de-DE"/>
        </w:rPr>
        <w:t xml:space="preserve"> was proportionately stratified, as follows:</w:t>
      </w:r>
    </w:p>
    <w:p w:rsidR="006A324F" w:rsidRPr="008C1AB9" w:rsidRDefault="006A324F" w:rsidP="00470744">
      <w:pPr>
        <w:jc w:val="both"/>
        <w:rPr>
          <w:szCs w:val="24"/>
          <w:lang w:val="de-DE"/>
        </w:rPr>
      </w:pPr>
    </w:p>
    <w:p w:rsidR="006A324F" w:rsidRPr="008C1AB9" w:rsidRDefault="006A324F" w:rsidP="00470744">
      <w:pPr>
        <w:pStyle w:val="ListParagraph"/>
        <w:numPr>
          <w:ilvl w:val="0"/>
          <w:numId w:val="11"/>
        </w:numPr>
        <w:tabs>
          <w:tab w:val="left" w:pos="360"/>
        </w:tabs>
        <w:autoSpaceDE w:val="0"/>
        <w:autoSpaceDN w:val="0"/>
        <w:adjustRightInd w:val="0"/>
        <w:spacing w:after="0"/>
        <w:ind w:right="389"/>
        <w:jc w:val="both"/>
        <w:rPr>
          <w:rFonts w:ascii="Times New Roman" w:hAnsi="Times New Roman"/>
          <w:sz w:val="24"/>
          <w:szCs w:val="24"/>
        </w:rPr>
      </w:pPr>
      <w:r w:rsidRPr="008C1AB9">
        <w:rPr>
          <w:rFonts w:ascii="Times New Roman" w:hAnsi="Times New Roman"/>
          <w:sz w:val="24"/>
          <w:szCs w:val="24"/>
        </w:rPr>
        <w:t xml:space="preserve">By Sub-Region (101 sub-regions). </w:t>
      </w:r>
    </w:p>
    <w:p w:rsidR="006A324F" w:rsidRPr="008C1AB9" w:rsidRDefault="006A324F" w:rsidP="00470744">
      <w:pPr>
        <w:pStyle w:val="ListParagraph"/>
        <w:numPr>
          <w:ilvl w:val="0"/>
          <w:numId w:val="11"/>
        </w:numPr>
        <w:tabs>
          <w:tab w:val="left" w:pos="360"/>
        </w:tabs>
        <w:autoSpaceDE w:val="0"/>
        <w:autoSpaceDN w:val="0"/>
        <w:adjustRightInd w:val="0"/>
        <w:spacing w:after="0"/>
        <w:ind w:right="389"/>
        <w:jc w:val="both"/>
        <w:rPr>
          <w:rFonts w:ascii="Times New Roman" w:hAnsi="Times New Roman"/>
          <w:sz w:val="24"/>
          <w:szCs w:val="24"/>
        </w:rPr>
      </w:pPr>
      <w:r w:rsidRPr="008C1AB9">
        <w:rPr>
          <w:rFonts w:ascii="Times New Roman" w:hAnsi="Times New Roman"/>
          <w:sz w:val="24"/>
          <w:szCs w:val="24"/>
        </w:rPr>
        <w:t xml:space="preserve">Within sub-region, sectors were listed in increasing order by the percentage of household heads in non-manual NS-SEC operational categories (1, 2, 3.1, 3.2, 3.3, 3.4, 4.1, 4.2, 4.3, 5, 6, 7.1, 7.2, 7.3, 8.1, 8.2, 12.1, </w:t>
      </w:r>
      <w:proofErr w:type="gramStart"/>
      <w:r w:rsidRPr="008C1AB9">
        <w:rPr>
          <w:rFonts w:ascii="Times New Roman" w:hAnsi="Times New Roman"/>
          <w:sz w:val="24"/>
          <w:szCs w:val="24"/>
        </w:rPr>
        <w:t>12.6</w:t>
      </w:r>
      <w:proofErr w:type="gramEnd"/>
      <w:r w:rsidRPr="008C1AB9">
        <w:rPr>
          <w:rFonts w:ascii="Times New Roman" w:hAnsi="Times New Roman"/>
          <w:sz w:val="24"/>
          <w:szCs w:val="24"/>
        </w:rPr>
        <w:t>). Cut-off points were then drawn approximately one third and two thirds (in terms of delivery points) down the ordered list, to create three bands of roughly equal size.</w:t>
      </w:r>
    </w:p>
    <w:p w:rsidR="006A324F" w:rsidRPr="008C1AB9" w:rsidRDefault="006A324F" w:rsidP="00470744">
      <w:pPr>
        <w:pStyle w:val="ListParagraph"/>
        <w:numPr>
          <w:ilvl w:val="0"/>
          <w:numId w:val="11"/>
        </w:numPr>
        <w:tabs>
          <w:tab w:val="left" w:pos="360"/>
        </w:tabs>
        <w:autoSpaceDE w:val="0"/>
        <w:autoSpaceDN w:val="0"/>
        <w:adjustRightInd w:val="0"/>
        <w:spacing w:after="0"/>
        <w:ind w:right="389"/>
        <w:jc w:val="both"/>
        <w:rPr>
          <w:rFonts w:ascii="Times New Roman" w:hAnsi="Times New Roman"/>
          <w:sz w:val="24"/>
          <w:szCs w:val="24"/>
        </w:rPr>
      </w:pPr>
      <w:r w:rsidRPr="008C1AB9">
        <w:rPr>
          <w:rFonts w:ascii="Times New Roman" w:hAnsi="Times New Roman"/>
          <w:sz w:val="24"/>
          <w:szCs w:val="24"/>
        </w:rPr>
        <w:t>Within NS-SEC strata, sectors were sorted by the percentage of males of working age who were unemployed.</w:t>
      </w:r>
    </w:p>
    <w:p w:rsidR="006A324F" w:rsidRPr="008C1AB9" w:rsidRDefault="006A324F" w:rsidP="00470744">
      <w:pPr>
        <w:jc w:val="both"/>
        <w:rPr>
          <w:color w:val="FF0000"/>
          <w:szCs w:val="24"/>
        </w:rPr>
      </w:pPr>
    </w:p>
    <w:p w:rsidR="006A324F" w:rsidRPr="008C1AB9" w:rsidRDefault="006A324F" w:rsidP="00470744">
      <w:pPr>
        <w:jc w:val="both"/>
        <w:rPr>
          <w:szCs w:val="24"/>
          <w:lang w:val="de-DE"/>
        </w:rPr>
      </w:pPr>
      <w:r w:rsidRPr="008C1AB9">
        <w:rPr>
          <w:szCs w:val="24"/>
          <w:lang w:val="de-DE"/>
        </w:rPr>
        <w:t>The selection of the PSUs for the survey was made using the cumulated address count via a systematic fixed-interval process, from a random start point and reflecting a probability proportional to size (i.e. the number of residential addresses).</w:t>
      </w:r>
    </w:p>
    <w:p w:rsidR="006A324F" w:rsidRPr="008C1AB9" w:rsidRDefault="006A324F" w:rsidP="00470744">
      <w:pPr>
        <w:jc w:val="both"/>
        <w:rPr>
          <w:szCs w:val="24"/>
          <w:lang w:val="de-DE"/>
        </w:rPr>
      </w:pPr>
    </w:p>
    <w:p w:rsidR="006A324F" w:rsidRPr="008C1AB9" w:rsidRDefault="006A324F" w:rsidP="00470744">
      <w:pPr>
        <w:jc w:val="both"/>
        <w:rPr>
          <w:spacing w:val="-2"/>
          <w:szCs w:val="24"/>
        </w:rPr>
      </w:pPr>
      <w:r w:rsidRPr="008C1AB9">
        <w:rPr>
          <w:szCs w:val="24"/>
        </w:rPr>
        <w:t>The core sample consisted of 12,428 addresses across 278 points</w:t>
      </w:r>
      <w:r w:rsidRPr="008C1AB9">
        <w:rPr>
          <w:spacing w:val="-2"/>
          <w:szCs w:val="24"/>
        </w:rPr>
        <w:t xml:space="preserve"> and the sample for the Welsh boost consisted of 2,438 addresses across 46 points</w:t>
      </w:r>
      <w:r w:rsidRPr="008C1AB9">
        <w:rPr>
          <w:szCs w:val="24"/>
        </w:rPr>
        <w:t xml:space="preserve">. </w:t>
      </w:r>
      <w:r w:rsidRPr="008C1AB9">
        <w:rPr>
          <w:spacing w:val="-2"/>
          <w:szCs w:val="24"/>
        </w:rPr>
        <w:t xml:space="preserve">Addresses for both core and boost samples were selected systematically from each sector. </w:t>
      </w:r>
    </w:p>
    <w:p w:rsidR="006A324F" w:rsidRPr="008C1AB9" w:rsidRDefault="006A324F" w:rsidP="00470744">
      <w:pPr>
        <w:jc w:val="both"/>
        <w:rPr>
          <w:szCs w:val="24"/>
        </w:rPr>
      </w:pPr>
    </w:p>
    <w:p w:rsidR="006A324F" w:rsidRPr="008C1AB9" w:rsidRDefault="006A324F" w:rsidP="00470744">
      <w:pPr>
        <w:jc w:val="both"/>
        <w:rPr>
          <w:szCs w:val="24"/>
        </w:rPr>
      </w:pPr>
      <w:r w:rsidRPr="008C1AB9">
        <w:rPr>
          <w:szCs w:val="24"/>
        </w:rPr>
        <w:t xml:space="preserve">When interviewers made contact with sampled addresses they had to select one dwelling, then one household and finally one eligible individual within the selected household. In the vast majority of cases, no dwelling or household selection was necessary, but where multiple dwellings or households or eligible individuals were found, interviewers used a </w:t>
      </w:r>
      <w:r w:rsidRPr="008C1AB9">
        <w:rPr>
          <w:szCs w:val="24"/>
        </w:rPr>
        <w:lastRenderedPageBreak/>
        <w:t>‘Kish grid’ for selection purposes one. The selection process was included on contact sheets for each address.</w:t>
      </w:r>
    </w:p>
    <w:p w:rsidR="006A324F" w:rsidRPr="008C1AB9" w:rsidRDefault="006A324F" w:rsidP="00470744">
      <w:pPr>
        <w:jc w:val="both"/>
        <w:rPr>
          <w:szCs w:val="24"/>
        </w:rPr>
      </w:pPr>
    </w:p>
    <w:p w:rsidR="006A324F" w:rsidRPr="008C1AB9" w:rsidRDefault="006A324F" w:rsidP="00470744">
      <w:pPr>
        <w:jc w:val="both"/>
        <w:rPr>
          <w:szCs w:val="24"/>
        </w:rPr>
      </w:pPr>
      <w:r w:rsidRPr="008C1AB9">
        <w:rPr>
          <w:szCs w:val="24"/>
        </w:rPr>
        <w:t>Based upon the 2006 survey and changes in employment since then, the expectation was that around</w:t>
      </w:r>
      <w:r w:rsidR="0082260B">
        <w:rPr>
          <w:szCs w:val="24"/>
        </w:rPr>
        <w:t xml:space="preserve"> 55% of screened addresses in Britain</w:t>
      </w:r>
      <w:r w:rsidRPr="008C1AB9">
        <w:rPr>
          <w:szCs w:val="24"/>
        </w:rPr>
        <w:t xml:space="preserve"> would contain an eligible individual (someone aged 20-65 who carried out at least one hour of paid work per week). However, the incidence of eligible individuals was considerably lower than anticipated which meant that </w:t>
      </w:r>
      <w:r w:rsidR="0082260B">
        <w:rPr>
          <w:szCs w:val="24"/>
        </w:rPr>
        <w:t xml:space="preserve">an </w:t>
      </w:r>
      <w:r w:rsidRPr="008C1AB9">
        <w:rPr>
          <w:szCs w:val="24"/>
        </w:rPr>
        <w:t>additio</w:t>
      </w:r>
      <w:r w:rsidR="0082260B">
        <w:rPr>
          <w:szCs w:val="24"/>
        </w:rPr>
        <w:t>nal sample was drawn</w:t>
      </w:r>
      <w:r w:rsidRPr="008C1AB9">
        <w:rPr>
          <w:szCs w:val="24"/>
        </w:rPr>
        <w:t>.</w:t>
      </w:r>
      <w:r w:rsidR="008C1AB9">
        <w:rPr>
          <w:szCs w:val="24"/>
        </w:rPr>
        <w:t xml:space="preserve"> </w:t>
      </w:r>
      <w:r w:rsidR="0082260B">
        <w:rPr>
          <w:szCs w:val="24"/>
        </w:rPr>
        <w:t>These additional addresses were drawn</w:t>
      </w:r>
      <w:r w:rsidRPr="008C1AB9">
        <w:rPr>
          <w:szCs w:val="24"/>
        </w:rPr>
        <w:t xml:space="preserve"> in the same way as described abov</w:t>
      </w:r>
      <w:r w:rsidR="0082260B">
        <w:rPr>
          <w:szCs w:val="24"/>
        </w:rPr>
        <w:t>e</w:t>
      </w:r>
      <w:r w:rsidRPr="008C1AB9">
        <w:rPr>
          <w:szCs w:val="24"/>
        </w:rPr>
        <w:t>. In total, 70 extra points comprising 4,176 addresses were issued.</w:t>
      </w:r>
    </w:p>
    <w:p w:rsidR="009E4D78" w:rsidRPr="008C1AB9" w:rsidRDefault="009E4D78" w:rsidP="00470744">
      <w:pPr>
        <w:jc w:val="both"/>
        <w:rPr>
          <w:szCs w:val="24"/>
        </w:rPr>
      </w:pPr>
    </w:p>
    <w:p w:rsidR="00893CB9" w:rsidRPr="00D44A21" w:rsidRDefault="00893CB9" w:rsidP="00470744">
      <w:pPr>
        <w:pStyle w:val="ListParagraph"/>
        <w:numPr>
          <w:ilvl w:val="0"/>
          <w:numId w:val="2"/>
        </w:numPr>
        <w:spacing w:after="0"/>
        <w:ind w:left="360" w:right="389"/>
        <w:jc w:val="both"/>
        <w:rPr>
          <w:rFonts w:ascii="Times New Roman" w:hAnsi="Times New Roman"/>
          <w:b/>
          <w:sz w:val="24"/>
          <w:szCs w:val="24"/>
        </w:rPr>
      </w:pPr>
      <w:r w:rsidRPr="00D44A21">
        <w:rPr>
          <w:rFonts w:ascii="Times New Roman" w:hAnsi="Times New Roman"/>
          <w:b/>
          <w:sz w:val="24"/>
          <w:szCs w:val="24"/>
        </w:rPr>
        <w:t>Data Col</w:t>
      </w:r>
      <w:r w:rsidR="00470744">
        <w:rPr>
          <w:rFonts w:ascii="Times New Roman" w:hAnsi="Times New Roman"/>
          <w:b/>
          <w:sz w:val="24"/>
          <w:szCs w:val="24"/>
        </w:rPr>
        <w:t>lection and Fieldwork Outcomes</w:t>
      </w:r>
    </w:p>
    <w:p w:rsidR="00893CB9" w:rsidRDefault="00893CB9" w:rsidP="00470744">
      <w:pPr>
        <w:jc w:val="both"/>
        <w:rPr>
          <w:szCs w:val="24"/>
        </w:rPr>
      </w:pPr>
    </w:p>
    <w:p w:rsidR="00E47DF3" w:rsidRDefault="00E47DF3" w:rsidP="00470744">
      <w:pPr>
        <w:jc w:val="both"/>
        <w:rPr>
          <w:rFonts w:cs="Arial"/>
        </w:rPr>
      </w:pPr>
      <w:r>
        <w:rPr>
          <w:rFonts w:cs="Arial"/>
        </w:rPr>
        <w:t>I</w:t>
      </w:r>
      <w:r w:rsidRPr="00DF3330">
        <w:rPr>
          <w:rFonts w:cs="Arial"/>
        </w:rPr>
        <w:t>n order to build up a time-series of research findings</w:t>
      </w:r>
      <w:r>
        <w:rPr>
          <w:rFonts w:cs="Arial"/>
        </w:rPr>
        <w:t xml:space="preserve"> the questionnaire content was largely based upon the 2006 survey</w:t>
      </w:r>
      <w:r w:rsidRPr="00DF3330">
        <w:rPr>
          <w:rFonts w:cs="Arial"/>
        </w:rPr>
        <w:t>. However, some new questions were developed to complement existing questions and to explore other issues.</w:t>
      </w:r>
      <w:r>
        <w:rPr>
          <w:rFonts w:cs="Arial"/>
        </w:rPr>
        <w:t xml:space="preserve"> In order to ensure that the new questions were working as intended they were tested and refined in a two-stage cognitive pre-test. A full dress rehearsal</w:t>
      </w:r>
      <w:r w:rsidRPr="0096344D">
        <w:rPr>
          <w:rFonts w:cs="Arial"/>
        </w:rPr>
        <w:t xml:space="preserve"> </w:t>
      </w:r>
      <w:r w:rsidRPr="00DF3330">
        <w:rPr>
          <w:rFonts w:cs="Arial"/>
        </w:rPr>
        <w:t xml:space="preserve">pilot phase </w:t>
      </w:r>
      <w:r>
        <w:rPr>
          <w:rFonts w:cs="Arial"/>
        </w:rPr>
        <w:t xml:space="preserve">was used </w:t>
      </w:r>
      <w:r w:rsidRPr="00DF3330">
        <w:rPr>
          <w:rFonts w:cs="Arial"/>
        </w:rPr>
        <w:t>in</w:t>
      </w:r>
      <w:r>
        <w:rPr>
          <w:rFonts w:cs="Arial"/>
        </w:rPr>
        <w:t xml:space="preserve"> order to test t</w:t>
      </w:r>
      <w:r w:rsidRPr="00DF3330">
        <w:rPr>
          <w:rFonts w:cs="Arial"/>
        </w:rPr>
        <w:t>he survey instruments and administrati</w:t>
      </w:r>
      <w:r>
        <w:rPr>
          <w:rFonts w:cs="Arial"/>
        </w:rPr>
        <w:t>ve processes.</w:t>
      </w:r>
    </w:p>
    <w:p w:rsidR="009E4D78" w:rsidRDefault="009E4D78" w:rsidP="00470744">
      <w:pPr>
        <w:jc w:val="both"/>
        <w:rPr>
          <w:szCs w:val="24"/>
        </w:rPr>
      </w:pPr>
    </w:p>
    <w:p w:rsidR="00E47DF3" w:rsidRDefault="00E47DF3" w:rsidP="00470744">
      <w:pPr>
        <w:tabs>
          <w:tab w:val="left" w:pos="1701"/>
        </w:tabs>
        <w:jc w:val="both"/>
        <w:rPr>
          <w:rFonts w:cs="Arial"/>
        </w:rPr>
      </w:pPr>
      <w:r w:rsidRPr="00C700F9">
        <w:rPr>
          <w:rFonts w:cs="Arial"/>
        </w:rPr>
        <w:t xml:space="preserve">All interviewers working on the survey were briefed </w:t>
      </w:r>
      <w:r w:rsidR="0082260B" w:rsidRPr="00C700F9">
        <w:rPr>
          <w:rFonts w:cs="Arial"/>
        </w:rPr>
        <w:t xml:space="preserve">personally </w:t>
      </w:r>
      <w:r w:rsidRPr="00C700F9">
        <w:rPr>
          <w:rFonts w:cs="Arial"/>
        </w:rPr>
        <w:t>befor</w:t>
      </w:r>
      <w:r w:rsidR="00C3527D">
        <w:rPr>
          <w:rFonts w:cs="Arial"/>
        </w:rPr>
        <w:t>e starting their assignment(s)</w:t>
      </w:r>
      <w:r>
        <w:rPr>
          <w:rFonts w:cs="Arial"/>
        </w:rPr>
        <w:t>.  Personal briefings are used to improve interviewer motivation by equipping interviewers with practical information regarding how to administer the survey, as well as the skills to ‘sell’ the survey to potential respondents and answer their queries. Briefings also serve to remind interviewers of key skills such as avoidance of doorstep refusal.</w:t>
      </w:r>
    </w:p>
    <w:p w:rsidR="00E47DF3" w:rsidRDefault="00E47DF3" w:rsidP="00470744">
      <w:pPr>
        <w:tabs>
          <w:tab w:val="left" w:pos="1701"/>
        </w:tabs>
        <w:jc w:val="both"/>
        <w:rPr>
          <w:rFonts w:cs="Arial"/>
        </w:rPr>
      </w:pPr>
    </w:p>
    <w:p w:rsidR="00E47DF3" w:rsidRPr="002E09F1" w:rsidRDefault="00E47DF3" w:rsidP="00470744">
      <w:pPr>
        <w:tabs>
          <w:tab w:val="left" w:pos="1701"/>
        </w:tabs>
        <w:jc w:val="both"/>
        <w:rPr>
          <w:rFonts w:cs="Arial"/>
          <w:color w:val="FF0000"/>
        </w:rPr>
      </w:pPr>
      <w:r>
        <w:rPr>
          <w:rFonts w:cs="Arial"/>
        </w:rPr>
        <w:t>A total of 15</w:t>
      </w:r>
      <w:r w:rsidRPr="00C700F9">
        <w:rPr>
          <w:rFonts w:cs="Arial"/>
        </w:rPr>
        <w:t xml:space="preserve"> briefings were held in a variety o</w:t>
      </w:r>
      <w:r>
        <w:rPr>
          <w:rFonts w:cs="Arial"/>
        </w:rPr>
        <w:t xml:space="preserve">f locations across </w:t>
      </w:r>
      <w:r w:rsidR="0082260B">
        <w:rPr>
          <w:rFonts w:cs="Arial"/>
        </w:rPr>
        <w:t>Britain</w:t>
      </w:r>
      <w:r>
        <w:rPr>
          <w:rFonts w:cs="Arial"/>
        </w:rPr>
        <w:t>. The briefings began with a ‘master briefing’ in Cardiff on Thursday, 5th January 2012. All but one of the researchers who were involved in the subsequent briefings attended this session as the master briefing acted as the template for the other briefings in terms of the order of the session, instructions on the use of the survey materials and the scenario adopted for the ‘dummy’ interview. Two further Welsh briefings were scheduled in January with briefings across England and Scotland taking place during the course of February 2012.</w:t>
      </w:r>
    </w:p>
    <w:p w:rsidR="00E47DF3" w:rsidRDefault="00E47DF3" w:rsidP="00470744">
      <w:pPr>
        <w:jc w:val="both"/>
        <w:rPr>
          <w:szCs w:val="24"/>
        </w:rPr>
      </w:pPr>
    </w:p>
    <w:p w:rsidR="00E47DF3" w:rsidRPr="00392AD5" w:rsidRDefault="00E47DF3" w:rsidP="00470744">
      <w:pPr>
        <w:jc w:val="both"/>
        <w:rPr>
          <w:rFonts w:cs="Arial"/>
        </w:rPr>
      </w:pPr>
      <w:r w:rsidRPr="00612EC9">
        <w:rPr>
          <w:rFonts w:cs="Arial"/>
        </w:rPr>
        <w:t xml:space="preserve">Interviewing in Wales </w:t>
      </w:r>
      <w:r>
        <w:rPr>
          <w:rFonts w:cs="Arial"/>
        </w:rPr>
        <w:t>– on both the core and boost sample – began</w:t>
      </w:r>
      <w:r w:rsidR="00D544FD">
        <w:rPr>
          <w:rFonts w:cs="Arial"/>
        </w:rPr>
        <w:t xml:space="preserve"> on 13</w:t>
      </w:r>
      <w:r w:rsidR="00D544FD" w:rsidRPr="00D544FD">
        <w:rPr>
          <w:rFonts w:cs="Arial"/>
          <w:vertAlign w:val="superscript"/>
        </w:rPr>
        <w:t>th</w:t>
      </w:r>
      <w:r w:rsidR="00D544FD">
        <w:rPr>
          <w:rFonts w:cs="Arial"/>
        </w:rPr>
        <w:t xml:space="preserve"> January 2012</w:t>
      </w:r>
      <w:proofErr w:type="gramStart"/>
      <w:r w:rsidR="00D544FD">
        <w:rPr>
          <w:rFonts w:cs="Arial"/>
        </w:rPr>
        <w:t>,  shortly</w:t>
      </w:r>
      <w:proofErr w:type="gramEnd"/>
      <w:r w:rsidRPr="00612EC9">
        <w:rPr>
          <w:rFonts w:cs="Arial"/>
        </w:rPr>
        <w:t xml:space="preserve"> after the first </w:t>
      </w:r>
      <w:r>
        <w:rPr>
          <w:rFonts w:cs="Arial"/>
        </w:rPr>
        <w:t xml:space="preserve">interviewer </w:t>
      </w:r>
      <w:r w:rsidR="00D544FD">
        <w:rPr>
          <w:rFonts w:cs="Arial"/>
        </w:rPr>
        <w:t>briefing,</w:t>
      </w:r>
      <w:r w:rsidRPr="00612EC9">
        <w:rPr>
          <w:rFonts w:cs="Arial"/>
        </w:rPr>
        <w:t xml:space="preserve"> and </w:t>
      </w:r>
      <w:r>
        <w:rPr>
          <w:rFonts w:cs="Arial"/>
        </w:rPr>
        <w:t>finished on</w:t>
      </w:r>
      <w:r w:rsidRPr="00612EC9">
        <w:rPr>
          <w:rFonts w:cs="Arial"/>
        </w:rPr>
        <w:t xml:space="preserve"> 27</w:t>
      </w:r>
      <w:r w:rsidRPr="00612EC9">
        <w:rPr>
          <w:rFonts w:cs="Arial"/>
          <w:vertAlign w:val="superscript"/>
        </w:rPr>
        <w:t>th</w:t>
      </w:r>
      <w:r w:rsidRPr="00612EC9">
        <w:rPr>
          <w:rFonts w:cs="Arial"/>
        </w:rPr>
        <w:t xml:space="preserve"> May 2012.</w:t>
      </w:r>
      <w:r w:rsidRPr="002D7E03">
        <w:rPr>
          <w:rFonts w:cs="Arial"/>
        </w:rPr>
        <w:t xml:space="preserve"> </w:t>
      </w:r>
      <w:r>
        <w:rPr>
          <w:rFonts w:cs="Arial"/>
        </w:rPr>
        <w:t xml:space="preserve">Interviewing across the rest of </w:t>
      </w:r>
      <w:r w:rsidR="0082260B">
        <w:rPr>
          <w:rFonts w:cs="Arial"/>
        </w:rPr>
        <w:t>Britain</w:t>
      </w:r>
      <w:r w:rsidRPr="00392AD5">
        <w:rPr>
          <w:rFonts w:cs="Arial"/>
        </w:rPr>
        <w:t xml:space="preserve"> began in early February and </w:t>
      </w:r>
      <w:r>
        <w:rPr>
          <w:rFonts w:cs="Arial"/>
        </w:rPr>
        <w:t>ended</w:t>
      </w:r>
      <w:r w:rsidRPr="00392AD5">
        <w:rPr>
          <w:rFonts w:cs="Arial"/>
        </w:rPr>
        <w:t xml:space="preserve"> on 7</w:t>
      </w:r>
      <w:r w:rsidRPr="00392AD5">
        <w:rPr>
          <w:rFonts w:cs="Arial"/>
          <w:vertAlign w:val="superscript"/>
        </w:rPr>
        <w:t>th</w:t>
      </w:r>
      <w:r w:rsidRPr="00392AD5">
        <w:rPr>
          <w:rFonts w:cs="Arial"/>
        </w:rPr>
        <w:t xml:space="preserve"> November 2012. </w:t>
      </w:r>
    </w:p>
    <w:p w:rsidR="009E4D78" w:rsidRDefault="009E4D78" w:rsidP="00470744">
      <w:pPr>
        <w:jc w:val="both"/>
        <w:rPr>
          <w:szCs w:val="24"/>
        </w:rPr>
      </w:pPr>
    </w:p>
    <w:p w:rsidR="00E47DF3" w:rsidRDefault="00E47DF3" w:rsidP="00470744">
      <w:pPr>
        <w:jc w:val="both"/>
        <w:rPr>
          <w:rFonts w:cs="Arial"/>
        </w:rPr>
      </w:pPr>
      <w:r w:rsidRPr="008969BF">
        <w:rPr>
          <w:rFonts w:cs="Arial"/>
        </w:rPr>
        <w:t xml:space="preserve">As well as reviewing progress during first issue, the Field team were responsible for reviewing performance on completed assignments at a micro level to determine whether there was a case for reissue. </w:t>
      </w:r>
      <w:r>
        <w:rPr>
          <w:rFonts w:cs="Arial"/>
        </w:rPr>
        <w:t xml:space="preserve">Decisions were based on information gathered via the </w:t>
      </w:r>
      <w:r w:rsidR="00D66E09">
        <w:rPr>
          <w:rFonts w:cs="Arial"/>
        </w:rPr>
        <w:t>Computer-assisted Personal Interviewing (</w:t>
      </w:r>
      <w:r>
        <w:rPr>
          <w:rFonts w:cs="Arial"/>
        </w:rPr>
        <w:t>CAPI</w:t>
      </w:r>
      <w:r w:rsidR="00D66E09">
        <w:rPr>
          <w:rFonts w:cs="Arial"/>
        </w:rPr>
        <w:t>)</w:t>
      </w:r>
      <w:r>
        <w:rPr>
          <w:rFonts w:cs="Arial"/>
        </w:rPr>
        <w:t xml:space="preserve"> progress reporting tool and, where necessary, by examining hard copy contact sheets. </w:t>
      </w:r>
      <w:r w:rsidRPr="008969BF">
        <w:rPr>
          <w:rFonts w:cs="Arial"/>
        </w:rPr>
        <w:t>Reissue</w:t>
      </w:r>
      <w:r w:rsidR="00C3527D">
        <w:rPr>
          <w:rFonts w:cs="Arial"/>
        </w:rPr>
        <w:t>s were</w:t>
      </w:r>
      <w:r w:rsidRPr="008969BF">
        <w:rPr>
          <w:rFonts w:cs="Arial"/>
        </w:rPr>
        <w:t xml:space="preserve"> mainly triggered by a higher than expected level of non-contact or refusal amongst screened addresses, i.e. addresses where it was already known that there was an eligible respondent. However</w:t>
      </w:r>
      <w:r>
        <w:rPr>
          <w:rFonts w:cs="Arial"/>
        </w:rPr>
        <w:t xml:space="preserve">, a limited </w:t>
      </w:r>
      <w:r w:rsidRPr="008969BF">
        <w:rPr>
          <w:rFonts w:cs="Arial"/>
        </w:rPr>
        <w:t>a number of household non conta</w:t>
      </w:r>
      <w:r>
        <w:rPr>
          <w:rFonts w:cs="Arial"/>
        </w:rPr>
        <w:t>c</w:t>
      </w:r>
      <w:r w:rsidR="00D16079">
        <w:rPr>
          <w:rFonts w:cs="Arial"/>
        </w:rPr>
        <w:t>ts and refusals</w:t>
      </w:r>
      <w:r>
        <w:rPr>
          <w:rFonts w:cs="Arial"/>
        </w:rPr>
        <w:t xml:space="preserve"> were also reissued.</w:t>
      </w:r>
    </w:p>
    <w:p w:rsidR="00E47DF3" w:rsidRPr="008969BF" w:rsidRDefault="00E47DF3" w:rsidP="00470744">
      <w:pPr>
        <w:jc w:val="both"/>
        <w:rPr>
          <w:rFonts w:cs="Arial"/>
        </w:rPr>
      </w:pPr>
    </w:p>
    <w:p w:rsidR="00E47DF3" w:rsidRDefault="00E47DF3" w:rsidP="00470744">
      <w:pPr>
        <w:jc w:val="both"/>
        <w:rPr>
          <w:rFonts w:cs="Arial"/>
        </w:rPr>
      </w:pPr>
      <w:r>
        <w:rPr>
          <w:rFonts w:cs="Arial"/>
        </w:rPr>
        <w:t>T</w:t>
      </w:r>
      <w:r w:rsidRPr="008969BF">
        <w:rPr>
          <w:rFonts w:cs="Arial"/>
        </w:rPr>
        <w:t xml:space="preserve">he decision to reissue was </w:t>
      </w:r>
      <w:r>
        <w:rPr>
          <w:rFonts w:cs="Arial"/>
        </w:rPr>
        <w:t xml:space="preserve">therefore </w:t>
      </w:r>
      <w:r w:rsidRPr="008969BF">
        <w:rPr>
          <w:rFonts w:cs="Arial"/>
        </w:rPr>
        <w:t>based prim</w:t>
      </w:r>
      <w:r>
        <w:rPr>
          <w:rFonts w:cs="Arial"/>
        </w:rPr>
        <w:t>ari</w:t>
      </w:r>
      <w:r w:rsidRPr="008969BF">
        <w:rPr>
          <w:rFonts w:cs="Arial"/>
        </w:rPr>
        <w:t>ly on a lower than expected conversion rate of screened addresses and, to a lesser extent, on</w:t>
      </w:r>
      <w:r>
        <w:rPr>
          <w:rFonts w:cs="Arial"/>
        </w:rPr>
        <w:t xml:space="preserve"> a </w:t>
      </w:r>
      <w:r w:rsidRPr="008969BF">
        <w:rPr>
          <w:rFonts w:cs="Arial"/>
        </w:rPr>
        <w:t xml:space="preserve">lower than expected </w:t>
      </w:r>
      <w:r w:rsidRPr="008969BF">
        <w:rPr>
          <w:rFonts w:cs="Arial"/>
        </w:rPr>
        <w:lastRenderedPageBreak/>
        <w:t>level of screening (high rates of refusal or non-contact at the household level). In all cases, addresses were only reissued where i</w:t>
      </w:r>
      <w:r>
        <w:rPr>
          <w:rFonts w:cs="Arial"/>
        </w:rPr>
        <w:t>t</w:t>
      </w:r>
      <w:r w:rsidRPr="008969BF">
        <w:rPr>
          <w:rFonts w:cs="Arial"/>
        </w:rPr>
        <w:t xml:space="preserve"> made sense to do so, i.e. where there was a suffic</w:t>
      </w:r>
      <w:r>
        <w:rPr>
          <w:rFonts w:cs="Arial"/>
        </w:rPr>
        <w:t>ie</w:t>
      </w:r>
      <w:r w:rsidRPr="008969BF">
        <w:rPr>
          <w:rFonts w:cs="Arial"/>
        </w:rPr>
        <w:t xml:space="preserve">ntly high number of leads to make the task efficient and where there was an interviewer within reasonable travel time (as well as being an interviewer who had performed well on </w:t>
      </w:r>
      <w:r>
        <w:rPr>
          <w:rFonts w:cs="Arial"/>
        </w:rPr>
        <w:t>their first assignment</w:t>
      </w:r>
      <w:r w:rsidRPr="008969BF">
        <w:rPr>
          <w:rFonts w:cs="Arial"/>
        </w:rPr>
        <w:t xml:space="preserve">). </w:t>
      </w:r>
      <w:r>
        <w:rPr>
          <w:rFonts w:cs="Arial"/>
        </w:rPr>
        <w:t xml:space="preserve">Interviewer notes on contact sheets were </w:t>
      </w:r>
      <w:r w:rsidR="00C3527D">
        <w:rPr>
          <w:rFonts w:cs="Arial"/>
        </w:rPr>
        <w:t>also taken into consideration. S</w:t>
      </w:r>
      <w:r>
        <w:rPr>
          <w:rFonts w:cs="Arial"/>
        </w:rPr>
        <w:t xml:space="preserve">o, for example, if the interviewer had marked the box ‘do not </w:t>
      </w:r>
      <w:proofErr w:type="spellStart"/>
      <w:r>
        <w:rPr>
          <w:rFonts w:cs="Arial"/>
        </w:rPr>
        <w:t>recontact</w:t>
      </w:r>
      <w:proofErr w:type="spellEnd"/>
      <w:r>
        <w:rPr>
          <w:rFonts w:cs="Arial"/>
        </w:rPr>
        <w:t xml:space="preserve">’, this address would not have been selected for reissue. </w:t>
      </w:r>
      <w:r w:rsidRPr="009E4A2A">
        <w:rPr>
          <w:rFonts w:cs="Arial"/>
        </w:rPr>
        <w:t>In total, 3,082 addresses were re-issued resulting in an additional 297 interviews being achieved (10</w:t>
      </w:r>
      <w:r>
        <w:rPr>
          <w:rFonts w:cs="Arial"/>
        </w:rPr>
        <w:t>%</w:t>
      </w:r>
      <w:r w:rsidRPr="009E4A2A">
        <w:rPr>
          <w:rFonts w:cs="Arial"/>
        </w:rPr>
        <w:t>).</w:t>
      </w:r>
    </w:p>
    <w:p w:rsidR="00470744" w:rsidRDefault="00470744" w:rsidP="00470744">
      <w:pPr>
        <w:jc w:val="both"/>
        <w:rPr>
          <w:rFonts w:cs="Arial"/>
        </w:rPr>
      </w:pPr>
    </w:p>
    <w:p w:rsidR="00470744" w:rsidRDefault="00470744" w:rsidP="00470744">
      <w:pPr>
        <w:jc w:val="both"/>
        <w:rPr>
          <w:rFonts w:cs="Arial"/>
        </w:rPr>
      </w:pPr>
      <w:r>
        <w:rPr>
          <w:rFonts w:cs="Arial"/>
        </w:rPr>
        <w:t>A</w:t>
      </w:r>
      <w:r w:rsidRPr="00835C19">
        <w:rPr>
          <w:rFonts w:cs="Arial"/>
        </w:rPr>
        <w:t>s an acknowledgement of the time burden of the survey, all those completing a full interview were offered an incentive for doing so, which took the form of £10 of High Street vouchers.</w:t>
      </w:r>
      <w:r>
        <w:rPr>
          <w:rFonts w:cs="Arial"/>
        </w:rPr>
        <w:t xml:space="preserve"> In order to encourage respondents to participate in the research the conditional incentive was mentioned in the advance communications.</w:t>
      </w:r>
    </w:p>
    <w:p w:rsidR="00470744" w:rsidRDefault="00470744" w:rsidP="00470744">
      <w:pPr>
        <w:jc w:val="both"/>
        <w:rPr>
          <w:rFonts w:cs="Arial"/>
        </w:rPr>
      </w:pPr>
    </w:p>
    <w:p w:rsidR="00470744" w:rsidRDefault="00470744" w:rsidP="00470744">
      <w:pPr>
        <w:jc w:val="both"/>
        <w:rPr>
          <w:rFonts w:cs="Arial"/>
        </w:rPr>
      </w:pPr>
      <w:r w:rsidRPr="00C3149B">
        <w:rPr>
          <w:rFonts w:cs="Arial"/>
        </w:rPr>
        <w:t xml:space="preserve">In estimating the workloads of interviewers, it was planned that interviews should have an average length of 55 minutes. As with any survey, some variation in the length of interview was expected because of questionnaire routing and respondent speed. </w:t>
      </w:r>
      <w:r>
        <w:rPr>
          <w:rFonts w:cs="Arial"/>
        </w:rPr>
        <w:t xml:space="preserve">In the case of this survey, </w:t>
      </w:r>
      <w:r w:rsidRPr="00C3149B">
        <w:rPr>
          <w:rFonts w:cs="Arial"/>
        </w:rPr>
        <w:t xml:space="preserve">the mean and median lengths of interview were slightly higher than expected at 59 minutes and 58 minutes respectively. </w:t>
      </w:r>
      <w:r w:rsidRPr="00132427">
        <w:rPr>
          <w:rFonts w:cs="Arial"/>
        </w:rPr>
        <w:t>The response rate obtained was 49% of</w:t>
      </w:r>
      <w:r>
        <w:rPr>
          <w:rFonts w:cs="Arial"/>
        </w:rPr>
        <w:t xml:space="preserve"> screened eligible respondents.</w:t>
      </w:r>
    </w:p>
    <w:p w:rsidR="009E4D78" w:rsidRPr="00D44A21" w:rsidRDefault="009E4D78" w:rsidP="00470744">
      <w:pPr>
        <w:jc w:val="both"/>
        <w:rPr>
          <w:szCs w:val="24"/>
        </w:rPr>
      </w:pPr>
    </w:p>
    <w:p w:rsidR="00D44A21" w:rsidRPr="00470744" w:rsidRDefault="00893CB9" w:rsidP="00470744">
      <w:pPr>
        <w:pStyle w:val="ListParagraph"/>
        <w:numPr>
          <w:ilvl w:val="0"/>
          <w:numId w:val="2"/>
        </w:numPr>
        <w:spacing w:after="0"/>
        <w:ind w:left="360" w:right="389"/>
        <w:jc w:val="both"/>
        <w:rPr>
          <w:rFonts w:ascii="Times New Roman" w:hAnsi="Times New Roman"/>
          <w:b/>
          <w:sz w:val="24"/>
          <w:szCs w:val="24"/>
        </w:rPr>
      </w:pPr>
      <w:r w:rsidRPr="00470744">
        <w:rPr>
          <w:rFonts w:ascii="Times New Roman" w:hAnsi="Times New Roman"/>
          <w:b/>
          <w:sz w:val="24"/>
          <w:szCs w:val="24"/>
        </w:rPr>
        <w:t>Representativeness and Survey Weights</w:t>
      </w:r>
    </w:p>
    <w:p w:rsidR="00470744" w:rsidRDefault="00470744" w:rsidP="00470744">
      <w:pPr>
        <w:pStyle w:val="BodyText"/>
        <w:ind w:right="389"/>
        <w:rPr>
          <w:rFonts w:ascii="Times New Roman" w:hAnsi="Times New Roman"/>
          <w:szCs w:val="24"/>
        </w:rPr>
      </w:pPr>
    </w:p>
    <w:p w:rsidR="001D6670" w:rsidRDefault="00D16079" w:rsidP="00470744">
      <w:pPr>
        <w:pStyle w:val="BodyText"/>
        <w:ind w:right="389"/>
        <w:rPr>
          <w:rFonts w:ascii="Times New Roman" w:hAnsi="Times New Roman"/>
          <w:szCs w:val="24"/>
        </w:rPr>
      </w:pPr>
      <w:r>
        <w:rPr>
          <w:rFonts w:ascii="Times New Roman" w:hAnsi="Times New Roman"/>
          <w:szCs w:val="24"/>
        </w:rPr>
        <w:t>SES2012 is the seventh</w:t>
      </w:r>
      <w:r w:rsidR="00D44A21" w:rsidRPr="00D876AE">
        <w:rPr>
          <w:rFonts w:ascii="Times New Roman" w:hAnsi="Times New Roman"/>
          <w:szCs w:val="24"/>
        </w:rPr>
        <w:t xml:space="preserve"> in a series of nationally representative sample surveys of individuals in employment aged 20-60 years old (although the 2006 and 2012 surveys additionally sampled those aged 61-65).  For each survey, weights were computed to take into account the differential probabilities of sample selection according to the number of dwelling units at each issued address, the number of eligible interview respondents, the over-sampling of the boost areas (if appropriate) and the slight under-representation of certain groups.  To do so, we compared survey distributions across a number of socio-economic indicators with the distributions produced by the Labour Force Survey for the relevant year (the most up-to-date Office for National Statistics’</w:t>
      </w:r>
      <w:r w:rsidR="001D6670">
        <w:rPr>
          <w:rFonts w:ascii="Times New Roman" w:hAnsi="Times New Roman"/>
          <w:szCs w:val="24"/>
        </w:rPr>
        <w:t xml:space="preserve"> (ONS)</w:t>
      </w:r>
      <w:r w:rsidR="00D44A21" w:rsidRPr="00D876AE">
        <w:rPr>
          <w:rFonts w:ascii="Times New Roman" w:hAnsi="Times New Roman"/>
          <w:szCs w:val="24"/>
        </w:rPr>
        <w:t xml:space="preserve"> weights </w:t>
      </w:r>
      <w:proofErr w:type="gramStart"/>
      <w:r w:rsidR="00D44A21" w:rsidRPr="00D876AE">
        <w:rPr>
          <w:rFonts w:ascii="Times New Roman" w:hAnsi="Times New Roman"/>
          <w:szCs w:val="24"/>
        </w:rPr>
        <w:t>were</w:t>
      </w:r>
      <w:proofErr w:type="gramEnd"/>
      <w:r w:rsidR="004A3349">
        <w:rPr>
          <w:rFonts w:ascii="Times New Roman" w:hAnsi="Times New Roman"/>
          <w:szCs w:val="24"/>
        </w:rPr>
        <w:t xml:space="preserve"> used).  The weights used with the dataset,</w:t>
      </w:r>
      <w:r w:rsidR="00D44A21" w:rsidRPr="00D876AE">
        <w:rPr>
          <w:rFonts w:ascii="Times New Roman" w:hAnsi="Times New Roman"/>
          <w:szCs w:val="24"/>
        </w:rPr>
        <w:t xml:space="preserve"> therefore</w:t>
      </w:r>
      <w:r w:rsidR="004A3349">
        <w:rPr>
          <w:rFonts w:ascii="Times New Roman" w:hAnsi="Times New Roman"/>
          <w:szCs w:val="24"/>
        </w:rPr>
        <w:t>,</w:t>
      </w:r>
      <w:r w:rsidR="00D44A21" w:rsidRPr="00D876AE">
        <w:rPr>
          <w:rFonts w:ascii="Times New Roman" w:hAnsi="Times New Roman"/>
          <w:szCs w:val="24"/>
        </w:rPr>
        <w:t xml:space="preserve"> correct for non-response rates by sex, age and occupational group for all of the surveys in the series.  For these reasons, the data reported using these newer weights will differ slightly from publications which are based on the older weights supplied with the original data</w:t>
      </w:r>
      <w:r w:rsidR="004A3349">
        <w:rPr>
          <w:rFonts w:ascii="Times New Roman" w:hAnsi="Times New Roman"/>
          <w:szCs w:val="24"/>
        </w:rPr>
        <w:t>sets before 2012</w:t>
      </w:r>
      <w:r w:rsidR="00D44A21" w:rsidRPr="00D876AE">
        <w:rPr>
          <w:rFonts w:ascii="Times New Roman" w:hAnsi="Times New Roman"/>
          <w:szCs w:val="24"/>
        </w:rPr>
        <w:t>.</w:t>
      </w:r>
    </w:p>
    <w:p w:rsidR="001D6670" w:rsidRDefault="001D6670" w:rsidP="00470744">
      <w:pPr>
        <w:pStyle w:val="BodyText"/>
        <w:ind w:right="389"/>
        <w:rPr>
          <w:rFonts w:ascii="Times New Roman" w:hAnsi="Times New Roman"/>
          <w:szCs w:val="24"/>
        </w:rPr>
      </w:pPr>
    </w:p>
    <w:p w:rsidR="00B63C9C" w:rsidRDefault="008258DC" w:rsidP="00C3527D">
      <w:pPr>
        <w:pStyle w:val="BodyText"/>
        <w:ind w:right="389"/>
        <w:rPr>
          <w:rFonts w:ascii="Times New Roman" w:hAnsi="Times New Roman"/>
          <w:szCs w:val="24"/>
        </w:rPr>
      </w:pPr>
      <w:r w:rsidRPr="00D876AE">
        <w:rPr>
          <w:rFonts w:ascii="Times New Roman" w:hAnsi="Times New Roman"/>
          <w:szCs w:val="24"/>
        </w:rPr>
        <w:t>We took</w:t>
      </w:r>
      <w:r w:rsidR="00D44A21" w:rsidRPr="00D876AE">
        <w:rPr>
          <w:rFonts w:ascii="Times New Roman" w:hAnsi="Times New Roman"/>
          <w:szCs w:val="24"/>
        </w:rPr>
        <w:t xml:space="preserve"> the decision to </w:t>
      </w:r>
      <w:r w:rsidR="00D16079">
        <w:rPr>
          <w:rFonts w:ascii="Times New Roman" w:hAnsi="Times New Roman"/>
          <w:szCs w:val="24"/>
        </w:rPr>
        <w:t>compute new weights for all seven</w:t>
      </w:r>
      <w:r w:rsidR="00BA6067">
        <w:rPr>
          <w:rFonts w:ascii="Times New Roman" w:hAnsi="Times New Roman"/>
          <w:szCs w:val="24"/>
        </w:rPr>
        <w:t xml:space="preserve"> surveys for three</w:t>
      </w:r>
      <w:r w:rsidR="00C3527D">
        <w:rPr>
          <w:rFonts w:ascii="Times New Roman" w:hAnsi="Times New Roman"/>
          <w:szCs w:val="24"/>
        </w:rPr>
        <w:t xml:space="preserve"> reasons</w:t>
      </w:r>
      <w:r w:rsidRPr="00D876AE">
        <w:rPr>
          <w:rFonts w:ascii="Times New Roman" w:hAnsi="Times New Roman"/>
          <w:szCs w:val="24"/>
        </w:rPr>
        <w:t xml:space="preserve">. </w:t>
      </w:r>
      <w:r w:rsidR="004A3349">
        <w:rPr>
          <w:rFonts w:ascii="Times New Roman" w:hAnsi="Times New Roman"/>
          <w:szCs w:val="24"/>
        </w:rPr>
        <w:t xml:space="preserve"> </w:t>
      </w:r>
      <w:r w:rsidRPr="00D876AE">
        <w:rPr>
          <w:rFonts w:ascii="Times New Roman" w:hAnsi="Times New Roman"/>
          <w:szCs w:val="24"/>
        </w:rPr>
        <w:t xml:space="preserve">First, the LFS has recently been reweighted to reflect more up-to-date population estimates. </w:t>
      </w:r>
      <w:r w:rsidR="001D6670">
        <w:rPr>
          <w:rFonts w:ascii="Times New Roman" w:hAnsi="Times New Roman"/>
          <w:szCs w:val="24"/>
        </w:rPr>
        <w:t xml:space="preserve">It is </w:t>
      </w:r>
      <w:r w:rsidR="00915236">
        <w:rPr>
          <w:rFonts w:ascii="Times New Roman" w:hAnsi="Times New Roman"/>
          <w:szCs w:val="24"/>
        </w:rPr>
        <w:t xml:space="preserve">prudent to follow ONS’s lead and to </w:t>
      </w:r>
      <w:r w:rsidR="001D6670">
        <w:rPr>
          <w:rFonts w:ascii="Times New Roman" w:hAnsi="Times New Roman"/>
          <w:szCs w:val="24"/>
        </w:rPr>
        <w:t>derive survey weights</w:t>
      </w:r>
      <w:r w:rsidRPr="00D876AE">
        <w:rPr>
          <w:rFonts w:ascii="Times New Roman" w:hAnsi="Times New Roman"/>
          <w:szCs w:val="24"/>
        </w:rPr>
        <w:t xml:space="preserve"> accordingly.  Secondly, we </w:t>
      </w:r>
      <w:r w:rsidR="00C64297" w:rsidRPr="00D876AE">
        <w:rPr>
          <w:rFonts w:ascii="Times New Roman" w:hAnsi="Times New Roman"/>
          <w:szCs w:val="24"/>
        </w:rPr>
        <w:t xml:space="preserve">wanted to be certain that exactly the same weighting procedures were used for all the surveys in the </w:t>
      </w:r>
      <w:r w:rsidR="00F875DC" w:rsidRPr="00D876AE">
        <w:rPr>
          <w:rFonts w:ascii="Times New Roman" w:hAnsi="Times New Roman"/>
          <w:szCs w:val="24"/>
        </w:rPr>
        <w:t>series and for a transparent</w:t>
      </w:r>
      <w:r w:rsidR="00C64297" w:rsidRPr="00D876AE">
        <w:rPr>
          <w:rFonts w:ascii="Times New Roman" w:hAnsi="Times New Roman"/>
          <w:szCs w:val="24"/>
        </w:rPr>
        <w:t xml:space="preserve"> account to be provided to other users.</w:t>
      </w:r>
      <w:r w:rsidR="00F875DC" w:rsidRPr="00D876AE">
        <w:rPr>
          <w:rFonts w:ascii="Times New Roman" w:hAnsi="Times New Roman"/>
          <w:szCs w:val="24"/>
        </w:rPr>
        <w:t xml:space="preserve">  </w:t>
      </w:r>
      <w:r w:rsidR="005D1DCF">
        <w:rPr>
          <w:rFonts w:ascii="Times New Roman" w:hAnsi="Times New Roman"/>
          <w:szCs w:val="24"/>
        </w:rPr>
        <w:t>Thirdly, since 2006 the LFS has been released on a calendar basis and only updated historic versions of the dataset on such a basis are now available.  Weights for the series before 2006, however, were calculated using now redundant seasonal versions of the LFS.</w:t>
      </w:r>
      <w:r w:rsidR="006B5399">
        <w:rPr>
          <w:rFonts w:ascii="Times New Roman" w:hAnsi="Times New Roman"/>
          <w:szCs w:val="24"/>
        </w:rPr>
        <w:t xml:space="preserve">  </w:t>
      </w:r>
      <w:r w:rsidR="00F875DC" w:rsidRPr="00D876AE">
        <w:rPr>
          <w:rFonts w:ascii="Times New Roman" w:hAnsi="Times New Roman"/>
          <w:szCs w:val="24"/>
        </w:rPr>
        <w:t>This section wi</w:t>
      </w:r>
      <w:r w:rsidR="00D16079">
        <w:rPr>
          <w:rFonts w:ascii="Times New Roman" w:hAnsi="Times New Roman"/>
          <w:szCs w:val="24"/>
        </w:rPr>
        <w:t>ll, therefore, outline the design effects, non-response rates</w:t>
      </w:r>
      <w:r w:rsidR="00F875DC" w:rsidRPr="00D876AE">
        <w:rPr>
          <w:rFonts w:ascii="Times New Roman" w:hAnsi="Times New Roman"/>
          <w:szCs w:val="24"/>
        </w:rPr>
        <w:t xml:space="preserve"> and trimming protocols used to derive the </w:t>
      </w:r>
      <w:r w:rsidR="005D1DCF">
        <w:rPr>
          <w:rFonts w:ascii="Times New Roman" w:hAnsi="Times New Roman"/>
          <w:szCs w:val="24"/>
        </w:rPr>
        <w:t xml:space="preserve">new </w:t>
      </w:r>
      <w:r w:rsidR="00F875DC" w:rsidRPr="00D876AE">
        <w:rPr>
          <w:rFonts w:ascii="Times New Roman" w:hAnsi="Times New Roman"/>
          <w:szCs w:val="24"/>
        </w:rPr>
        <w:t>weights used for analysis.</w:t>
      </w:r>
    </w:p>
    <w:p w:rsidR="00C3527D" w:rsidRDefault="00C3527D" w:rsidP="00C3527D">
      <w:pPr>
        <w:pStyle w:val="BodyText"/>
        <w:ind w:right="389"/>
        <w:rPr>
          <w:b/>
          <w:i/>
          <w:szCs w:val="24"/>
        </w:rPr>
      </w:pPr>
    </w:p>
    <w:p w:rsidR="00F875DC" w:rsidRPr="00D876AE" w:rsidRDefault="00F875DC" w:rsidP="00470744">
      <w:pPr>
        <w:pStyle w:val="BodyText"/>
        <w:ind w:right="389"/>
        <w:rPr>
          <w:rFonts w:ascii="Times New Roman" w:hAnsi="Times New Roman"/>
          <w:b/>
          <w:i/>
          <w:szCs w:val="24"/>
        </w:rPr>
      </w:pPr>
      <w:r w:rsidRPr="00D876AE">
        <w:rPr>
          <w:rFonts w:ascii="Times New Roman" w:hAnsi="Times New Roman"/>
          <w:b/>
          <w:i/>
          <w:szCs w:val="24"/>
        </w:rPr>
        <w:t>Design Weights</w:t>
      </w:r>
    </w:p>
    <w:p w:rsidR="00DE5EE8" w:rsidRPr="00D876AE" w:rsidRDefault="00DE5EE8" w:rsidP="00470744">
      <w:pPr>
        <w:jc w:val="both"/>
        <w:rPr>
          <w:szCs w:val="24"/>
        </w:rPr>
      </w:pPr>
    </w:p>
    <w:p w:rsidR="00DE5EE8" w:rsidRPr="00D876AE" w:rsidRDefault="00DE5EE8" w:rsidP="00470744">
      <w:pPr>
        <w:jc w:val="both"/>
        <w:rPr>
          <w:szCs w:val="24"/>
        </w:rPr>
      </w:pPr>
      <w:r w:rsidRPr="00D876AE">
        <w:rPr>
          <w:szCs w:val="24"/>
        </w:rPr>
        <w:lastRenderedPageBreak/>
        <w:t>The data files</w:t>
      </w:r>
      <w:r w:rsidR="001D6670">
        <w:rPr>
          <w:szCs w:val="24"/>
        </w:rPr>
        <w:t xml:space="preserve"> for all of the surveys</w:t>
      </w:r>
      <w:r w:rsidRPr="00D876AE">
        <w:rPr>
          <w:szCs w:val="24"/>
        </w:rPr>
        <w:t xml:space="preserve"> were supplied with design weights</w:t>
      </w:r>
      <w:r w:rsidR="001D6670">
        <w:rPr>
          <w:szCs w:val="24"/>
        </w:rPr>
        <w:t>.</w:t>
      </w:r>
      <w:r w:rsidR="000C02C2">
        <w:rPr>
          <w:szCs w:val="24"/>
        </w:rPr>
        <w:t xml:space="preserve">  </w:t>
      </w:r>
      <w:r w:rsidR="001D6670">
        <w:rPr>
          <w:szCs w:val="24"/>
        </w:rPr>
        <w:t>These were provided</w:t>
      </w:r>
      <w:r w:rsidR="004A3349">
        <w:rPr>
          <w:szCs w:val="24"/>
        </w:rPr>
        <w:t xml:space="preserve"> by the market research companies responsible for the fieldwork.  They </w:t>
      </w:r>
      <w:r w:rsidRPr="00D876AE">
        <w:rPr>
          <w:szCs w:val="24"/>
        </w:rPr>
        <w:t>ensure</w:t>
      </w:r>
      <w:r w:rsidR="001D6670">
        <w:rPr>
          <w:szCs w:val="24"/>
        </w:rPr>
        <w:t xml:space="preserve"> that the data were</w:t>
      </w:r>
      <w:r w:rsidRPr="00D876AE">
        <w:rPr>
          <w:szCs w:val="24"/>
        </w:rPr>
        <w:t xml:space="preserve"> representative of the target population by correcting for differential probabilities of selection. </w:t>
      </w:r>
      <w:r w:rsidR="004A3349">
        <w:rPr>
          <w:szCs w:val="24"/>
        </w:rPr>
        <w:t xml:space="preserve"> </w:t>
      </w:r>
      <w:r w:rsidRPr="00D876AE">
        <w:rPr>
          <w:szCs w:val="24"/>
        </w:rPr>
        <w:t>Unequ</w:t>
      </w:r>
      <w:r w:rsidR="001D6670">
        <w:rPr>
          <w:szCs w:val="24"/>
        </w:rPr>
        <w:t>al selection probabilities can occur at three points in the design process</w:t>
      </w:r>
      <w:r w:rsidRPr="00D876AE">
        <w:rPr>
          <w:szCs w:val="24"/>
        </w:rPr>
        <w:t>:</w:t>
      </w:r>
    </w:p>
    <w:p w:rsidR="00014E7A" w:rsidRPr="00D876AE" w:rsidRDefault="00014E7A" w:rsidP="00470744">
      <w:pPr>
        <w:jc w:val="both"/>
        <w:rPr>
          <w:color w:val="FF0000"/>
          <w:szCs w:val="24"/>
        </w:rPr>
      </w:pPr>
    </w:p>
    <w:p w:rsidR="00DE5EE8" w:rsidRPr="00D876AE" w:rsidRDefault="00DE5EE8" w:rsidP="00470744">
      <w:pPr>
        <w:pStyle w:val="ListParagraph"/>
        <w:numPr>
          <w:ilvl w:val="0"/>
          <w:numId w:val="1"/>
        </w:numPr>
        <w:spacing w:after="0"/>
        <w:ind w:left="567" w:right="389" w:hanging="283"/>
        <w:jc w:val="both"/>
        <w:rPr>
          <w:rFonts w:ascii="Times New Roman" w:hAnsi="Times New Roman"/>
          <w:sz w:val="24"/>
          <w:szCs w:val="24"/>
        </w:rPr>
      </w:pPr>
      <w:r w:rsidRPr="00D876AE">
        <w:rPr>
          <w:rFonts w:ascii="Times New Roman" w:hAnsi="Times New Roman"/>
          <w:sz w:val="24"/>
          <w:szCs w:val="24"/>
        </w:rPr>
        <w:t>The selection of one dwelling per address</w:t>
      </w:r>
      <w:r w:rsidR="001D6670">
        <w:rPr>
          <w:rFonts w:ascii="Times New Roman" w:hAnsi="Times New Roman"/>
          <w:sz w:val="24"/>
          <w:szCs w:val="24"/>
        </w:rPr>
        <w:t>;</w:t>
      </w:r>
    </w:p>
    <w:p w:rsidR="00DE5EE8" w:rsidRPr="00D876AE" w:rsidRDefault="00DE5EE8" w:rsidP="00470744">
      <w:pPr>
        <w:pStyle w:val="ListParagraph"/>
        <w:numPr>
          <w:ilvl w:val="0"/>
          <w:numId w:val="1"/>
        </w:numPr>
        <w:spacing w:after="0"/>
        <w:ind w:left="567" w:right="389" w:hanging="283"/>
        <w:jc w:val="both"/>
        <w:rPr>
          <w:rFonts w:ascii="Times New Roman" w:hAnsi="Times New Roman"/>
          <w:sz w:val="24"/>
          <w:szCs w:val="24"/>
        </w:rPr>
      </w:pPr>
      <w:r w:rsidRPr="00D876AE">
        <w:rPr>
          <w:rFonts w:ascii="Times New Roman" w:hAnsi="Times New Roman"/>
          <w:sz w:val="24"/>
          <w:szCs w:val="24"/>
        </w:rPr>
        <w:t>The selection of one household per selected dwelling</w:t>
      </w:r>
      <w:r w:rsidR="001D6670">
        <w:rPr>
          <w:rFonts w:ascii="Times New Roman" w:hAnsi="Times New Roman"/>
          <w:sz w:val="24"/>
          <w:szCs w:val="24"/>
        </w:rPr>
        <w:t>;</w:t>
      </w:r>
    </w:p>
    <w:p w:rsidR="00DE5EE8" w:rsidRPr="00D876AE" w:rsidRDefault="00DE5EE8" w:rsidP="00470744">
      <w:pPr>
        <w:pStyle w:val="ListParagraph"/>
        <w:numPr>
          <w:ilvl w:val="0"/>
          <w:numId w:val="1"/>
        </w:numPr>
        <w:spacing w:after="0"/>
        <w:ind w:left="567" w:right="389" w:hanging="283"/>
        <w:jc w:val="both"/>
        <w:rPr>
          <w:rFonts w:ascii="Times New Roman" w:hAnsi="Times New Roman"/>
          <w:sz w:val="24"/>
          <w:szCs w:val="24"/>
        </w:rPr>
      </w:pPr>
      <w:r w:rsidRPr="00D876AE">
        <w:rPr>
          <w:rFonts w:ascii="Times New Roman" w:hAnsi="Times New Roman"/>
          <w:sz w:val="24"/>
          <w:szCs w:val="24"/>
        </w:rPr>
        <w:t>The selection of one eligible adult per (selected) household</w:t>
      </w:r>
      <w:r w:rsidR="001D6670">
        <w:rPr>
          <w:rFonts w:ascii="Times New Roman" w:hAnsi="Times New Roman"/>
          <w:sz w:val="24"/>
          <w:szCs w:val="24"/>
        </w:rPr>
        <w:t>.</w:t>
      </w:r>
    </w:p>
    <w:p w:rsidR="00DE5EE8" w:rsidRPr="00D876AE" w:rsidRDefault="00DE5EE8" w:rsidP="00470744">
      <w:pPr>
        <w:jc w:val="both"/>
        <w:rPr>
          <w:color w:val="FF0000"/>
          <w:szCs w:val="24"/>
        </w:rPr>
      </w:pPr>
    </w:p>
    <w:p w:rsidR="004B6C4E" w:rsidRPr="00D876AE" w:rsidRDefault="001D6670" w:rsidP="00470744">
      <w:pPr>
        <w:jc w:val="both"/>
        <w:rPr>
          <w:szCs w:val="24"/>
        </w:rPr>
      </w:pPr>
      <w:r>
        <w:rPr>
          <w:szCs w:val="24"/>
        </w:rPr>
        <w:t>In many</w:t>
      </w:r>
      <w:r w:rsidR="00014E7A" w:rsidRPr="00D876AE">
        <w:rPr>
          <w:szCs w:val="24"/>
        </w:rPr>
        <w:t xml:space="preserve"> dataset</w:t>
      </w:r>
      <w:r>
        <w:rPr>
          <w:szCs w:val="24"/>
        </w:rPr>
        <w:t>s these are referred to as ‘</w:t>
      </w:r>
      <w:proofErr w:type="spellStart"/>
      <w:r>
        <w:rPr>
          <w:szCs w:val="24"/>
        </w:rPr>
        <w:t>kish</w:t>
      </w:r>
      <w:proofErr w:type="spellEnd"/>
      <w:r>
        <w:rPr>
          <w:szCs w:val="24"/>
        </w:rPr>
        <w:t xml:space="preserve"> </w:t>
      </w:r>
      <w:r w:rsidR="00014E7A" w:rsidRPr="00D876AE">
        <w:rPr>
          <w:szCs w:val="24"/>
        </w:rPr>
        <w:t>weights</w:t>
      </w:r>
      <w:r>
        <w:rPr>
          <w:szCs w:val="24"/>
        </w:rPr>
        <w:t>’</w:t>
      </w:r>
      <w:r w:rsidR="00014E7A" w:rsidRPr="00D876AE">
        <w:rPr>
          <w:szCs w:val="24"/>
        </w:rPr>
        <w:t>.  Where there were no boosts to the sample sizes (this was the case for all but the 2006 and</w:t>
      </w:r>
      <w:r w:rsidR="00806AB1">
        <w:rPr>
          <w:szCs w:val="24"/>
        </w:rPr>
        <w:t xml:space="preserve"> 2012 surveys), we use</w:t>
      </w:r>
      <w:r w:rsidR="004A3349">
        <w:rPr>
          <w:szCs w:val="24"/>
        </w:rPr>
        <w:t xml:space="preserve"> the</w:t>
      </w:r>
      <w:r>
        <w:rPr>
          <w:szCs w:val="24"/>
        </w:rPr>
        <w:t xml:space="preserve"> </w:t>
      </w:r>
      <w:proofErr w:type="spellStart"/>
      <w:proofErr w:type="gramStart"/>
      <w:r>
        <w:rPr>
          <w:szCs w:val="24"/>
        </w:rPr>
        <w:t>kish</w:t>
      </w:r>
      <w:proofErr w:type="spellEnd"/>
      <w:proofErr w:type="gramEnd"/>
      <w:r>
        <w:rPr>
          <w:szCs w:val="24"/>
        </w:rPr>
        <w:t xml:space="preserve"> </w:t>
      </w:r>
      <w:r w:rsidR="00014E7A" w:rsidRPr="00D876AE">
        <w:rPr>
          <w:szCs w:val="24"/>
        </w:rPr>
        <w:t>weight</w:t>
      </w:r>
      <w:r w:rsidR="004A3349">
        <w:rPr>
          <w:szCs w:val="24"/>
        </w:rPr>
        <w:t>s</w:t>
      </w:r>
      <w:r w:rsidR="00014E7A" w:rsidRPr="00D876AE">
        <w:rPr>
          <w:szCs w:val="24"/>
        </w:rPr>
        <w:t xml:space="preserve"> to produce the sample distributions produced below</w:t>
      </w:r>
      <w:r w:rsidR="00C3527D">
        <w:rPr>
          <w:szCs w:val="24"/>
        </w:rPr>
        <w:t xml:space="preserve"> (see Tables A1-A7)</w:t>
      </w:r>
      <w:r w:rsidR="00014E7A" w:rsidRPr="00D876AE">
        <w:rPr>
          <w:szCs w:val="24"/>
        </w:rPr>
        <w:t>.  However, in the case of the 2006 and 2012 surveys</w:t>
      </w:r>
      <w:r w:rsidR="00806AB1">
        <w:rPr>
          <w:szCs w:val="24"/>
        </w:rPr>
        <w:t>,</w:t>
      </w:r>
      <w:r w:rsidR="00014E7A" w:rsidRPr="00D876AE">
        <w:rPr>
          <w:szCs w:val="24"/>
        </w:rPr>
        <w:t xml:space="preserve"> we additionally weight the samples inversely proportional to t</w:t>
      </w:r>
      <w:r w:rsidR="004B6C4E" w:rsidRPr="00D876AE">
        <w:rPr>
          <w:szCs w:val="24"/>
        </w:rPr>
        <w:t>he LFS estimates</w:t>
      </w:r>
      <w:r w:rsidR="004A3349">
        <w:rPr>
          <w:szCs w:val="24"/>
        </w:rPr>
        <w:t xml:space="preserve"> for the boost areas</w:t>
      </w:r>
      <w:r w:rsidR="004B6C4E" w:rsidRPr="00D876AE">
        <w:rPr>
          <w:szCs w:val="24"/>
        </w:rPr>
        <w:t xml:space="preserve">.   So, Wales was over-sampled in both surveys given additional funding to boost the Welsh sample size.  To take </w:t>
      </w:r>
      <w:r w:rsidR="00806AB1">
        <w:rPr>
          <w:szCs w:val="24"/>
        </w:rPr>
        <w:t>this into account,</w:t>
      </w:r>
      <w:r w:rsidR="004B6C4E" w:rsidRPr="00D876AE">
        <w:rPr>
          <w:szCs w:val="24"/>
        </w:rPr>
        <w:t xml:space="preserve"> Welsh respondents were given a weight of less than one</w:t>
      </w:r>
      <w:r w:rsidR="00C3527D">
        <w:rPr>
          <w:szCs w:val="24"/>
        </w:rPr>
        <w:t xml:space="preserve"> (that is, the </w:t>
      </w:r>
      <w:r w:rsidR="00806AB1">
        <w:rPr>
          <w:szCs w:val="24"/>
        </w:rPr>
        <w:t xml:space="preserve">LFS estimate divided by </w:t>
      </w:r>
      <w:r w:rsidR="00C3527D">
        <w:rPr>
          <w:szCs w:val="24"/>
        </w:rPr>
        <w:t xml:space="preserve">the </w:t>
      </w:r>
      <w:proofErr w:type="spellStart"/>
      <w:proofErr w:type="gramStart"/>
      <w:r w:rsidR="00806AB1">
        <w:rPr>
          <w:szCs w:val="24"/>
        </w:rPr>
        <w:t>kish</w:t>
      </w:r>
      <w:proofErr w:type="spellEnd"/>
      <w:proofErr w:type="gramEnd"/>
      <w:r w:rsidR="00806AB1">
        <w:rPr>
          <w:szCs w:val="24"/>
        </w:rPr>
        <w:t xml:space="preserve"> </w:t>
      </w:r>
      <w:r w:rsidR="00C3527D">
        <w:rPr>
          <w:szCs w:val="24"/>
        </w:rPr>
        <w:t>weighted sample estimate</w:t>
      </w:r>
      <w:r w:rsidR="004B6C4E" w:rsidRPr="00D876AE">
        <w:rPr>
          <w:szCs w:val="24"/>
        </w:rPr>
        <w:t>).</w:t>
      </w:r>
      <w:r w:rsidR="00806AB1">
        <w:rPr>
          <w:szCs w:val="24"/>
        </w:rPr>
        <w:t xml:space="preserve">  Similar adjustments were made for other over-sampled areas.</w:t>
      </w:r>
      <w:r w:rsidR="00D876AE" w:rsidRPr="00D876AE">
        <w:rPr>
          <w:szCs w:val="24"/>
        </w:rPr>
        <w:t xml:space="preserve">  For completeness, this applies</w:t>
      </w:r>
      <w:r w:rsidR="004B6C4E" w:rsidRPr="00D876AE">
        <w:rPr>
          <w:szCs w:val="24"/>
        </w:rPr>
        <w:t xml:space="preserve"> to the following:</w:t>
      </w:r>
    </w:p>
    <w:p w:rsidR="004B6C4E" w:rsidRPr="00D876AE" w:rsidRDefault="004B6C4E" w:rsidP="00470744">
      <w:pPr>
        <w:jc w:val="both"/>
        <w:rPr>
          <w:szCs w:val="24"/>
        </w:rPr>
      </w:pPr>
    </w:p>
    <w:p w:rsidR="00DE5EE8" w:rsidRPr="00D876AE" w:rsidRDefault="004B6C4E" w:rsidP="00470744">
      <w:pPr>
        <w:pStyle w:val="ListParagraph"/>
        <w:numPr>
          <w:ilvl w:val="0"/>
          <w:numId w:val="3"/>
        </w:numPr>
        <w:spacing w:after="0"/>
        <w:ind w:left="778" w:right="389"/>
        <w:jc w:val="both"/>
        <w:rPr>
          <w:rFonts w:ascii="Times New Roman" w:hAnsi="Times New Roman"/>
          <w:sz w:val="24"/>
          <w:szCs w:val="24"/>
        </w:rPr>
      </w:pPr>
      <w:r w:rsidRPr="00D876AE">
        <w:rPr>
          <w:rFonts w:ascii="Times New Roman" w:hAnsi="Times New Roman"/>
          <w:sz w:val="24"/>
          <w:szCs w:val="24"/>
        </w:rPr>
        <w:t>East Midlands over-sampling in 2006;</w:t>
      </w:r>
    </w:p>
    <w:p w:rsidR="004B6C4E" w:rsidRPr="00D876AE" w:rsidRDefault="004B6C4E" w:rsidP="00470744">
      <w:pPr>
        <w:pStyle w:val="ListParagraph"/>
        <w:numPr>
          <w:ilvl w:val="0"/>
          <w:numId w:val="3"/>
        </w:numPr>
        <w:spacing w:after="0"/>
        <w:ind w:left="778" w:right="389"/>
        <w:jc w:val="both"/>
        <w:rPr>
          <w:rFonts w:ascii="Times New Roman" w:hAnsi="Times New Roman"/>
          <w:sz w:val="24"/>
          <w:szCs w:val="24"/>
        </w:rPr>
      </w:pPr>
      <w:r w:rsidRPr="00D876AE">
        <w:rPr>
          <w:rFonts w:ascii="Times New Roman" w:hAnsi="Times New Roman"/>
          <w:sz w:val="24"/>
          <w:szCs w:val="24"/>
        </w:rPr>
        <w:t>Scottish over-sampling in 2006;</w:t>
      </w:r>
    </w:p>
    <w:p w:rsidR="004B6C4E" w:rsidRPr="00D876AE" w:rsidRDefault="004B6C4E" w:rsidP="00470744">
      <w:pPr>
        <w:pStyle w:val="ListParagraph"/>
        <w:numPr>
          <w:ilvl w:val="0"/>
          <w:numId w:val="3"/>
        </w:numPr>
        <w:spacing w:after="0"/>
        <w:ind w:left="778" w:right="389"/>
        <w:jc w:val="both"/>
        <w:rPr>
          <w:rFonts w:ascii="Times New Roman" w:hAnsi="Times New Roman"/>
          <w:sz w:val="24"/>
          <w:szCs w:val="24"/>
        </w:rPr>
      </w:pPr>
      <w:r w:rsidRPr="00D876AE">
        <w:rPr>
          <w:rFonts w:ascii="Times New Roman" w:hAnsi="Times New Roman"/>
          <w:sz w:val="24"/>
          <w:szCs w:val="24"/>
        </w:rPr>
        <w:t>Highlands and Islands sampling in 2006 (only applies to UK estimates</w:t>
      </w:r>
      <w:r w:rsidR="00CA5A1F">
        <w:rPr>
          <w:rFonts w:ascii="Times New Roman" w:hAnsi="Times New Roman"/>
          <w:sz w:val="24"/>
          <w:szCs w:val="24"/>
        </w:rPr>
        <w:t xml:space="preserve"> – weights not supplied</w:t>
      </w:r>
      <w:r w:rsidRPr="00D876AE">
        <w:rPr>
          <w:rFonts w:ascii="Times New Roman" w:hAnsi="Times New Roman"/>
          <w:sz w:val="24"/>
          <w:szCs w:val="24"/>
        </w:rPr>
        <w:t xml:space="preserve">); </w:t>
      </w:r>
    </w:p>
    <w:p w:rsidR="004B6C4E" w:rsidRPr="00D876AE" w:rsidRDefault="004B6C4E" w:rsidP="00470744">
      <w:pPr>
        <w:pStyle w:val="ListParagraph"/>
        <w:numPr>
          <w:ilvl w:val="0"/>
          <w:numId w:val="3"/>
        </w:numPr>
        <w:spacing w:after="0"/>
        <w:ind w:left="778" w:right="389"/>
        <w:jc w:val="both"/>
        <w:rPr>
          <w:rFonts w:ascii="Times New Roman" w:hAnsi="Times New Roman"/>
          <w:sz w:val="24"/>
          <w:szCs w:val="24"/>
        </w:rPr>
      </w:pPr>
      <w:r w:rsidRPr="00D876AE">
        <w:rPr>
          <w:rFonts w:ascii="Times New Roman" w:hAnsi="Times New Roman"/>
          <w:sz w:val="24"/>
          <w:szCs w:val="24"/>
        </w:rPr>
        <w:t>Northern Ireland sampling in 2006 (only applies to UK estimates</w:t>
      </w:r>
      <w:r w:rsidR="00CA5A1F">
        <w:rPr>
          <w:rFonts w:ascii="Times New Roman" w:hAnsi="Times New Roman"/>
          <w:sz w:val="24"/>
          <w:szCs w:val="24"/>
        </w:rPr>
        <w:t xml:space="preserve"> – weights not supplied</w:t>
      </w:r>
      <w:r w:rsidRPr="00D876AE">
        <w:rPr>
          <w:rFonts w:ascii="Times New Roman" w:hAnsi="Times New Roman"/>
          <w:sz w:val="24"/>
          <w:szCs w:val="24"/>
        </w:rPr>
        <w:t>);</w:t>
      </w:r>
    </w:p>
    <w:p w:rsidR="004B6C4E" w:rsidRPr="00D876AE" w:rsidRDefault="00D876AE" w:rsidP="00470744">
      <w:pPr>
        <w:pStyle w:val="ListParagraph"/>
        <w:numPr>
          <w:ilvl w:val="0"/>
          <w:numId w:val="3"/>
        </w:numPr>
        <w:spacing w:after="0"/>
        <w:ind w:left="778" w:right="389"/>
        <w:jc w:val="both"/>
        <w:rPr>
          <w:rFonts w:ascii="Times New Roman" w:hAnsi="Times New Roman"/>
          <w:sz w:val="24"/>
          <w:szCs w:val="24"/>
        </w:rPr>
      </w:pPr>
      <w:proofErr w:type="gramStart"/>
      <w:r w:rsidRPr="00D876AE">
        <w:rPr>
          <w:rFonts w:ascii="Times New Roman" w:hAnsi="Times New Roman"/>
          <w:sz w:val="24"/>
          <w:szCs w:val="24"/>
        </w:rPr>
        <w:t>Wales</w:t>
      </w:r>
      <w:proofErr w:type="gramEnd"/>
      <w:r w:rsidRPr="00D876AE">
        <w:rPr>
          <w:rFonts w:ascii="Times New Roman" w:hAnsi="Times New Roman"/>
          <w:sz w:val="24"/>
          <w:szCs w:val="24"/>
        </w:rPr>
        <w:t xml:space="preserve"> over-sampling in 2006 and 2012 (as outlined above).</w:t>
      </w:r>
    </w:p>
    <w:p w:rsidR="004A3349" w:rsidRDefault="004A3349" w:rsidP="00470744">
      <w:pPr>
        <w:jc w:val="both"/>
        <w:rPr>
          <w:szCs w:val="24"/>
        </w:rPr>
      </w:pPr>
    </w:p>
    <w:p w:rsidR="00893CB9" w:rsidRPr="00326487" w:rsidRDefault="00D16079" w:rsidP="00470744">
      <w:pPr>
        <w:jc w:val="both"/>
        <w:rPr>
          <w:b/>
          <w:i/>
          <w:szCs w:val="24"/>
        </w:rPr>
      </w:pPr>
      <w:r>
        <w:rPr>
          <w:b/>
          <w:i/>
          <w:szCs w:val="24"/>
        </w:rPr>
        <w:t>Non-response Rates</w:t>
      </w:r>
    </w:p>
    <w:p w:rsidR="00326487" w:rsidRDefault="00326487" w:rsidP="00470744">
      <w:pPr>
        <w:jc w:val="both"/>
        <w:rPr>
          <w:szCs w:val="24"/>
        </w:rPr>
      </w:pPr>
    </w:p>
    <w:p w:rsidR="00326487" w:rsidRDefault="00326487" w:rsidP="00470744">
      <w:pPr>
        <w:jc w:val="both"/>
      </w:pPr>
      <w:r>
        <w:t>Although the samples were designed to ensure that they were</w:t>
      </w:r>
      <w:r w:rsidRPr="00B27355">
        <w:t xml:space="preserve"> representative of workers in Britain</w:t>
      </w:r>
      <w:r>
        <w:t xml:space="preserve"> at the time of the survey</w:t>
      </w:r>
      <w:r w:rsidRPr="00B27355">
        <w:t>, we fir</w:t>
      </w:r>
      <w:r>
        <w:t>st checked whether the sample was</w:t>
      </w:r>
      <w:r w:rsidRPr="00B27355">
        <w:t xml:space="preserve"> broadly representative. We classified the dat</w:t>
      </w:r>
      <w:r w:rsidR="00D16079">
        <w:t>a against some</w:t>
      </w:r>
      <w:r w:rsidRPr="00B27355">
        <w:t xml:space="preserve"> standard socio-econo</w:t>
      </w:r>
      <w:r>
        <w:t xml:space="preserve">mic variables, and compared each of the seven surveys against the spring LFS for that year.  </w:t>
      </w:r>
      <w:r w:rsidRPr="00B27355">
        <w:t xml:space="preserve">Since the LFS has a substantially larger sample size, and since it gleans information from every member of households, it can be argued that the LFS sample is likely to be closely representative of the </w:t>
      </w:r>
      <w:r>
        <w:t xml:space="preserve">employed </w:t>
      </w:r>
      <w:r w:rsidRPr="00B27355">
        <w:t>workforce.</w:t>
      </w:r>
    </w:p>
    <w:p w:rsidR="00E14B1C" w:rsidRPr="00B27355" w:rsidRDefault="00E14B1C" w:rsidP="00470744">
      <w:pPr>
        <w:jc w:val="both"/>
      </w:pPr>
    </w:p>
    <w:p w:rsidR="00915385" w:rsidRDefault="00E14B1C" w:rsidP="00470744">
      <w:pPr>
        <w:pStyle w:val="BodyText3"/>
        <w:spacing w:after="0"/>
        <w:ind w:right="389"/>
        <w:jc w:val="both"/>
        <w:rPr>
          <w:sz w:val="24"/>
          <w:szCs w:val="24"/>
        </w:rPr>
      </w:pPr>
      <w:r>
        <w:rPr>
          <w:sz w:val="24"/>
          <w:szCs w:val="24"/>
        </w:rPr>
        <w:t>The tables, below, present these</w:t>
      </w:r>
      <w:r w:rsidR="00326487" w:rsidRPr="00B30AE9">
        <w:rPr>
          <w:sz w:val="24"/>
          <w:szCs w:val="24"/>
        </w:rPr>
        <w:t xml:space="preserve"> comparison</w:t>
      </w:r>
      <w:r>
        <w:rPr>
          <w:sz w:val="24"/>
          <w:szCs w:val="24"/>
        </w:rPr>
        <w:t xml:space="preserve">s.  </w:t>
      </w:r>
      <w:r w:rsidR="00326487" w:rsidRPr="00B30AE9">
        <w:rPr>
          <w:sz w:val="24"/>
          <w:szCs w:val="24"/>
        </w:rPr>
        <w:t>The base is those in emplo</w:t>
      </w:r>
      <w:r>
        <w:rPr>
          <w:sz w:val="24"/>
          <w:szCs w:val="24"/>
        </w:rPr>
        <w:t>yment and aged between 20 and 60</w:t>
      </w:r>
      <w:r w:rsidR="00326487" w:rsidRPr="00B30AE9">
        <w:rPr>
          <w:sz w:val="24"/>
          <w:szCs w:val="24"/>
        </w:rPr>
        <w:t xml:space="preserve"> inclusive</w:t>
      </w:r>
      <w:r>
        <w:rPr>
          <w:sz w:val="24"/>
          <w:szCs w:val="24"/>
        </w:rPr>
        <w:t xml:space="preserve"> (and for 2006</w:t>
      </w:r>
      <w:r w:rsidR="000C02C2">
        <w:rPr>
          <w:sz w:val="24"/>
          <w:szCs w:val="24"/>
        </w:rPr>
        <w:t xml:space="preserve"> and 2012</w:t>
      </w:r>
      <w:r>
        <w:rPr>
          <w:sz w:val="24"/>
          <w:szCs w:val="24"/>
        </w:rPr>
        <w:t>, 20-65 years old)</w:t>
      </w:r>
      <w:r w:rsidR="00326487" w:rsidRPr="00B30AE9">
        <w:rPr>
          <w:sz w:val="24"/>
          <w:szCs w:val="24"/>
        </w:rPr>
        <w:t xml:space="preserve">. </w:t>
      </w:r>
      <w:r>
        <w:rPr>
          <w:sz w:val="24"/>
          <w:szCs w:val="24"/>
        </w:rPr>
        <w:t xml:space="preserve"> </w:t>
      </w:r>
      <w:r w:rsidR="00326487" w:rsidRPr="00B30AE9">
        <w:rPr>
          <w:sz w:val="24"/>
          <w:szCs w:val="24"/>
        </w:rPr>
        <w:t>We compa</w:t>
      </w:r>
      <w:r w:rsidR="009019DA">
        <w:rPr>
          <w:sz w:val="24"/>
          <w:szCs w:val="24"/>
        </w:rPr>
        <w:t xml:space="preserve">re the representation of the </w:t>
      </w:r>
      <w:proofErr w:type="spellStart"/>
      <w:proofErr w:type="gramStart"/>
      <w:r w:rsidR="009019DA">
        <w:rPr>
          <w:sz w:val="24"/>
          <w:szCs w:val="24"/>
        </w:rPr>
        <w:t>kish</w:t>
      </w:r>
      <w:proofErr w:type="spellEnd"/>
      <w:proofErr w:type="gramEnd"/>
      <w:r w:rsidR="009019DA">
        <w:rPr>
          <w:sz w:val="24"/>
          <w:szCs w:val="24"/>
        </w:rPr>
        <w:t xml:space="preserve"> weighted survey results (adjusted for boosts, where necessary) against the results given by the LFS for the </w:t>
      </w:r>
      <w:r w:rsidR="00BA6067">
        <w:rPr>
          <w:sz w:val="24"/>
          <w:szCs w:val="24"/>
        </w:rPr>
        <w:t>second quarter</w:t>
      </w:r>
      <w:r w:rsidR="009019DA">
        <w:rPr>
          <w:sz w:val="24"/>
          <w:szCs w:val="24"/>
        </w:rPr>
        <w:t xml:space="preserve"> of that year.</w:t>
      </w:r>
      <w:r w:rsidR="00606480">
        <w:rPr>
          <w:rStyle w:val="FootnoteReference"/>
          <w:sz w:val="24"/>
          <w:szCs w:val="24"/>
        </w:rPr>
        <w:footnoteReference w:id="4"/>
      </w:r>
      <w:r w:rsidR="009019DA">
        <w:rPr>
          <w:sz w:val="24"/>
          <w:szCs w:val="24"/>
        </w:rPr>
        <w:t xml:space="preserve">  We compare the results by</w:t>
      </w:r>
      <w:r w:rsidR="00326487" w:rsidRPr="00B30AE9">
        <w:rPr>
          <w:sz w:val="24"/>
          <w:szCs w:val="24"/>
        </w:rPr>
        <w:t xml:space="preserve"> sex, age</w:t>
      </w:r>
      <w:r>
        <w:rPr>
          <w:sz w:val="24"/>
          <w:szCs w:val="24"/>
        </w:rPr>
        <w:t xml:space="preserve"> and occupation</w:t>
      </w:r>
      <w:r w:rsidR="00326487" w:rsidRPr="00B30AE9">
        <w:rPr>
          <w:sz w:val="24"/>
          <w:szCs w:val="24"/>
        </w:rPr>
        <w:t>.</w:t>
      </w:r>
      <w:r w:rsidR="009019DA">
        <w:rPr>
          <w:sz w:val="24"/>
          <w:szCs w:val="24"/>
        </w:rPr>
        <w:t xml:space="preserve">  These results are then used to produce sex, age and occupational weights which when applied adjust for the under-representation of men, the young and certain occupational groups.  To make occupational comparisons, we use</w:t>
      </w:r>
      <w:r w:rsidR="00BD5662">
        <w:rPr>
          <w:sz w:val="24"/>
          <w:szCs w:val="24"/>
        </w:rPr>
        <w:t>d</w:t>
      </w:r>
      <w:r w:rsidR="009019DA">
        <w:rPr>
          <w:sz w:val="24"/>
          <w:szCs w:val="24"/>
        </w:rPr>
        <w:t xml:space="preserve"> the classification system in place at the time</w:t>
      </w:r>
      <w:r w:rsidR="00915385">
        <w:rPr>
          <w:sz w:val="24"/>
          <w:szCs w:val="24"/>
        </w:rPr>
        <w:t>:</w:t>
      </w:r>
    </w:p>
    <w:p w:rsidR="00915385" w:rsidRDefault="00915385" w:rsidP="00470744">
      <w:pPr>
        <w:pStyle w:val="BodyText3"/>
        <w:spacing w:after="0"/>
        <w:ind w:right="389"/>
        <w:jc w:val="both"/>
        <w:rPr>
          <w:sz w:val="24"/>
          <w:szCs w:val="24"/>
        </w:rPr>
      </w:pPr>
    </w:p>
    <w:p w:rsidR="00915385" w:rsidRPr="00915385" w:rsidRDefault="009019DA" w:rsidP="00470744">
      <w:pPr>
        <w:pStyle w:val="BodyText3"/>
        <w:numPr>
          <w:ilvl w:val="0"/>
          <w:numId w:val="5"/>
        </w:numPr>
        <w:spacing w:after="0"/>
        <w:ind w:right="389"/>
        <w:jc w:val="both"/>
        <w:rPr>
          <w:sz w:val="24"/>
          <w:szCs w:val="24"/>
        </w:rPr>
      </w:pPr>
      <w:r w:rsidRPr="00915385">
        <w:rPr>
          <w:sz w:val="24"/>
          <w:szCs w:val="24"/>
        </w:rPr>
        <w:t>for the 1986</w:t>
      </w:r>
      <w:r w:rsidR="00915385" w:rsidRPr="00915385">
        <w:rPr>
          <w:sz w:val="24"/>
          <w:szCs w:val="24"/>
        </w:rPr>
        <w:t xml:space="preserve"> survey</w:t>
      </w:r>
      <w:r w:rsidRPr="00915385">
        <w:rPr>
          <w:sz w:val="24"/>
          <w:szCs w:val="24"/>
        </w:rPr>
        <w:t xml:space="preserve"> we use</w:t>
      </w:r>
      <w:r w:rsidR="00BD5662" w:rsidRPr="00915385">
        <w:rPr>
          <w:sz w:val="24"/>
          <w:szCs w:val="24"/>
        </w:rPr>
        <w:t>d the</w:t>
      </w:r>
      <w:r w:rsidR="000C02C2" w:rsidRPr="00915385">
        <w:rPr>
          <w:sz w:val="24"/>
          <w:szCs w:val="24"/>
        </w:rPr>
        <w:t xml:space="preserve"> Registrar General’s Social C</w:t>
      </w:r>
      <w:r w:rsidR="00915385" w:rsidRPr="00915385">
        <w:rPr>
          <w:sz w:val="24"/>
          <w:szCs w:val="24"/>
        </w:rPr>
        <w:t>lass system;</w:t>
      </w:r>
    </w:p>
    <w:p w:rsidR="00915385" w:rsidRPr="00915385" w:rsidRDefault="000C02C2" w:rsidP="00470744">
      <w:pPr>
        <w:pStyle w:val="BodyText3"/>
        <w:numPr>
          <w:ilvl w:val="0"/>
          <w:numId w:val="5"/>
        </w:numPr>
        <w:spacing w:after="0"/>
        <w:ind w:right="389"/>
        <w:jc w:val="both"/>
        <w:rPr>
          <w:sz w:val="24"/>
          <w:szCs w:val="24"/>
        </w:rPr>
      </w:pPr>
      <w:r w:rsidRPr="00915385">
        <w:rPr>
          <w:sz w:val="24"/>
          <w:szCs w:val="24"/>
        </w:rPr>
        <w:t xml:space="preserve">for 1992 and 1997 we used to the </w:t>
      </w:r>
      <w:r w:rsidR="00915385" w:rsidRPr="00915385">
        <w:rPr>
          <w:sz w:val="24"/>
          <w:szCs w:val="24"/>
        </w:rPr>
        <w:t xml:space="preserve">1990 </w:t>
      </w:r>
      <w:r w:rsidRPr="00915385">
        <w:rPr>
          <w:sz w:val="24"/>
          <w:szCs w:val="24"/>
        </w:rPr>
        <w:t xml:space="preserve">Standard Occupational Classification </w:t>
      </w:r>
      <w:r w:rsidR="00915385" w:rsidRPr="00915385">
        <w:rPr>
          <w:sz w:val="24"/>
          <w:szCs w:val="24"/>
        </w:rPr>
        <w:t xml:space="preserve">(SOC90) </w:t>
      </w:r>
      <w:r w:rsidRPr="00915385">
        <w:rPr>
          <w:sz w:val="24"/>
          <w:szCs w:val="24"/>
        </w:rPr>
        <w:t>system</w:t>
      </w:r>
      <w:r w:rsidR="00915385" w:rsidRPr="00915385">
        <w:rPr>
          <w:sz w:val="24"/>
          <w:szCs w:val="24"/>
        </w:rPr>
        <w:t>;</w:t>
      </w:r>
    </w:p>
    <w:p w:rsidR="00915385" w:rsidRPr="00915385" w:rsidRDefault="00915385" w:rsidP="00470744">
      <w:pPr>
        <w:pStyle w:val="BodyText3"/>
        <w:numPr>
          <w:ilvl w:val="0"/>
          <w:numId w:val="5"/>
        </w:numPr>
        <w:spacing w:after="0"/>
        <w:ind w:right="389"/>
        <w:jc w:val="both"/>
        <w:rPr>
          <w:sz w:val="24"/>
          <w:szCs w:val="24"/>
        </w:rPr>
      </w:pPr>
      <w:r w:rsidRPr="00915385">
        <w:rPr>
          <w:sz w:val="24"/>
          <w:szCs w:val="24"/>
        </w:rPr>
        <w:t>for 2000, 2001 and 2006 we used SOC2000;</w:t>
      </w:r>
    </w:p>
    <w:p w:rsidR="00326487" w:rsidRPr="00915385" w:rsidRDefault="00915385" w:rsidP="00470744">
      <w:pPr>
        <w:pStyle w:val="BodyText3"/>
        <w:numPr>
          <w:ilvl w:val="0"/>
          <w:numId w:val="5"/>
        </w:numPr>
        <w:spacing w:after="0"/>
        <w:ind w:right="389"/>
        <w:jc w:val="both"/>
        <w:rPr>
          <w:sz w:val="24"/>
          <w:szCs w:val="24"/>
        </w:rPr>
      </w:pPr>
      <w:proofErr w:type="gramStart"/>
      <w:r w:rsidRPr="00915385">
        <w:rPr>
          <w:sz w:val="24"/>
          <w:szCs w:val="24"/>
        </w:rPr>
        <w:t>for</w:t>
      </w:r>
      <w:proofErr w:type="gramEnd"/>
      <w:r w:rsidRPr="00915385">
        <w:rPr>
          <w:sz w:val="24"/>
          <w:szCs w:val="24"/>
        </w:rPr>
        <w:t xml:space="preserve"> 2012 we used SOC2010.</w:t>
      </w:r>
      <w:r w:rsidR="000C02C2" w:rsidRPr="00915385">
        <w:rPr>
          <w:sz w:val="24"/>
          <w:szCs w:val="24"/>
        </w:rPr>
        <w:t xml:space="preserve"> </w:t>
      </w:r>
      <w:r w:rsidR="00BD5662" w:rsidRPr="00915385">
        <w:rPr>
          <w:sz w:val="24"/>
          <w:szCs w:val="24"/>
        </w:rPr>
        <w:t xml:space="preserve"> </w:t>
      </w:r>
    </w:p>
    <w:p w:rsidR="00915385" w:rsidRDefault="00915385" w:rsidP="00470744">
      <w:pPr>
        <w:jc w:val="both"/>
        <w:rPr>
          <w:szCs w:val="24"/>
        </w:rPr>
      </w:pPr>
    </w:p>
    <w:p w:rsidR="00085E9E" w:rsidRPr="00085E9E" w:rsidRDefault="00085E9E" w:rsidP="00470744">
      <w:pPr>
        <w:jc w:val="both"/>
        <w:rPr>
          <w:b/>
          <w:i/>
          <w:szCs w:val="24"/>
        </w:rPr>
      </w:pPr>
      <w:r w:rsidRPr="00085E9E">
        <w:rPr>
          <w:b/>
          <w:i/>
          <w:szCs w:val="24"/>
        </w:rPr>
        <w:t>Trimming</w:t>
      </w:r>
    </w:p>
    <w:p w:rsidR="00085E9E" w:rsidRDefault="00085E9E" w:rsidP="00470744">
      <w:pPr>
        <w:jc w:val="both"/>
        <w:rPr>
          <w:szCs w:val="24"/>
        </w:rPr>
      </w:pPr>
    </w:p>
    <w:p w:rsidR="00085E9E" w:rsidRDefault="00083018" w:rsidP="00470744">
      <w:pPr>
        <w:jc w:val="both"/>
        <w:rPr>
          <w:szCs w:val="24"/>
        </w:rPr>
      </w:pPr>
      <w:r>
        <w:rPr>
          <w:szCs w:val="24"/>
        </w:rPr>
        <w:t xml:space="preserve">The combined </w:t>
      </w:r>
      <w:proofErr w:type="spellStart"/>
      <w:proofErr w:type="gramStart"/>
      <w:r>
        <w:rPr>
          <w:szCs w:val="24"/>
        </w:rPr>
        <w:t>kish</w:t>
      </w:r>
      <w:proofErr w:type="spellEnd"/>
      <w:proofErr w:type="gramEnd"/>
      <w:r>
        <w:rPr>
          <w:szCs w:val="24"/>
        </w:rPr>
        <w:t xml:space="preserve"> weight (with boost adjustments where necessary) and the non-response weight for each survey was used to produce weighted samples for each survey year.  To scale the absolute numbers back to the achieved sample sizes, all weights were trimmed.</w:t>
      </w:r>
    </w:p>
    <w:p w:rsidR="00E57D6A" w:rsidRDefault="00E57D6A" w:rsidP="00470744">
      <w:pPr>
        <w:jc w:val="both"/>
        <w:rPr>
          <w:szCs w:val="24"/>
        </w:rPr>
      </w:pPr>
    </w:p>
    <w:p w:rsidR="00E57D6A" w:rsidRPr="00E57D6A" w:rsidRDefault="00E57D6A" w:rsidP="00470744">
      <w:pPr>
        <w:jc w:val="both"/>
        <w:rPr>
          <w:b/>
          <w:i/>
          <w:szCs w:val="24"/>
        </w:rPr>
      </w:pPr>
      <w:r w:rsidRPr="00E57D6A">
        <w:rPr>
          <w:b/>
          <w:i/>
          <w:szCs w:val="24"/>
        </w:rPr>
        <w:t>Weights in Dataset</w:t>
      </w:r>
      <w:r w:rsidR="00737BB3">
        <w:rPr>
          <w:rStyle w:val="FootnoteReference"/>
          <w:b/>
          <w:i/>
          <w:szCs w:val="24"/>
        </w:rPr>
        <w:footnoteReference w:id="5"/>
      </w:r>
    </w:p>
    <w:p w:rsidR="00E57D6A" w:rsidRDefault="00E57D6A" w:rsidP="00470744">
      <w:pPr>
        <w:jc w:val="both"/>
        <w:rPr>
          <w:szCs w:val="24"/>
        </w:rPr>
      </w:pPr>
    </w:p>
    <w:p w:rsidR="001955F0" w:rsidRDefault="001955F0" w:rsidP="00470744">
      <w:pPr>
        <w:jc w:val="both"/>
        <w:rPr>
          <w:szCs w:val="24"/>
        </w:rPr>
      </w:pPr>
      <w:r>
        <w:rPr>
          <w:szCs w:val="24"/>
        </w:rPr>
        <w:t>The following weights take all of the above considerations into account and should be used</w:t>
      </w:r>
      <w:r w:rsidR="009E4D78">
        <w:rPr>
          <w:szCs w:val="24"/>
        </w:rPr>
        <w:t xml:space="preserve"> in analysis based on the integrated dataset</w:t>
      </w:r>
      <w:r w:rsidR="000306C7">
        <w:rPr>
          <w:szCs w:val="24"/>
        </w:rPr>
        <w:t>:</w:t>
      </w:r>
    </w:p>
    <w:p w:rsidR="001955F0" w:rsidRPr="001955F0" w:rsidRDefault="001955F0" w:rsidP="00470744">
      <w:pPr>
        <w:jc w:val="both"/>
        <w:rPr>
          <w:szCs w:val="24"/>
        </w:rPr>
      </w:pPr>
    </w:p>
    <w:p w:rsidR="001955F0" w:rsidRPr="00410FA2" w:rsidRDefault="001955F0" w:rsidP="00410FA2">
      <w:pPr>
        <w:pStyle w:val="ListParagraph"/>
        <w:numPr>
          <w:ilvl w:val="0"/>
          <w:numId w:val="15"/>
        </w:numPr>
        <w:jc w:val="both"/>
        <w:rPr>
          <w:rFonts w:ascii="Times New Roman" w:hAnsi="Times New Roman"/>
          <w:sz w:val="24"/>
          <w:szCs w:val="24"/>
        </w:rPr>
      </w:pPr>
      <w:r w:rsidRPr="00410FA2">
        <w:rPr>
          <w:rFonts w:ascii="Times New Roman" w:hAnsi="Times New Roman"/>
          <w:sz w:val="24"/>
          <w:szCs w:val="24"/>
        </w:rPr>
        <w:t xml:space="preserve">‘weight0612’ = </w:t>
      </w:r>
      <w:r w:rsidR="00814EBD" w:rsidRPr="00410FA2">
        <w:rPr>
          <w:rFonts w:ascii="Times New Roman" w:hAnsi="Times New Roman"/>
          <w:sz w:val="24"/>
          <w:szCs w:val="24"/>
        </w:rPr>
        <w:t>applies to Skills Surveys 2006 and 2012, Britain, 20-65 year olds’</w:t>
      </w:r>
    </w:p>
    <w:p w:rsidR="00D66E09" w:rsidRDefault="001955F0" w:rsidP="00470744">
      <w:pPr>
        <w:pStyle w:val="ListParagraph"/>
        <w:numPr>
          <w:ilvl w:val="0"/>
          <w:numId w:val="4"/>
        </w:numPr>
        <w:ind w:right="389"/>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weightall</w:t>
      </w:r>
      <w:proofErr w:type="spellEnd"/>
      <w:r>
        <w:rPr>
          <w:rFonts w:ascii="Times New Roman" w:hAnsi="Times New Roman"/>
          <w:sz w:val="24"/>
          <w:szCs w:val="24"/>
        </w:rPr>
        <w:t>’ = applies to all surveys in series, Britain, 20-60 year olds’</w:t>
      </w:r>
    </w:p>
    <w:p w:rsidR="00886BAA" w:rsidRPr="00886BAA" w:rsidRDefault="00886BAA" w:rsidP="00886BAA">
      <w:pPr>
        <w:jc w:val="both"/>
        <w:rPr>
          <w:szCs w:val="24"/>
        </w:rPr>
      </w:pPr>
    </w:p>
    <w:p w:rsidR="00D66E09" w:rsidRPr="00E27DDE" w:rsidRDefault="00D66E09" w:rsidP="004C6832">
      <w:pPr>
        <w:pStyle w:val="ListParagraph"/>
        <w:numPr>
          <w:ilvl w:val="0"/>
          <w:numId w:val="2"/>
        </w:numPr>
        <w:spacing w:after="0"/>
        <w:ind w:left="360" w:right="389"/>
        <w:jc w:val="both"/>
        <w:rPr>
          <w:rFonts w:ascii="Times New Roman" w:hAnsi="Times New Roman"/>
          <w:b/>
          <w:sz w:val="24"/>
          <w:szCs w:val="24"/>
        </w:rPr>
      </w:pPr>
      <w:r w:rsidRPr="00E27DDE">
        <w:rPr>
          <w:rFonts w:ascii="Times New Roman" w:hAnsi="Times New Roman"/>
          <w:b/>
          <w:sz w:val="24"/>
          <w:szCs w:val="24"/>
        </w:rPr>
        <w:t>Summary</w:t>
      </w:r>
    </w:p>
    <w:p w:rsidR="004C6832" w:rsidRDefault="004C6832" w:rsidP="004C6832">
      <w:pPr>
        <w:jc w:val="both"/>
        <w:rPr>
          <w:szCs w:val="24"/>
        </w:rPr>
      </w:pPr>
    </w:p>
    <w:p w:rsidR="00FC1B76" w:rsidRPr="00E27DDE" w:rsidRDefault="00FC1B76" w:rsidP="004C6832">
      <w:pPr>
        <w:jc w:val="both"/>
        <w:rPr>
          <w:szCs w:val="24"/>
        </w:rPr>
      </w:pPr>
      <w:r w:rsidRPr="00E27DDE">
        <w:rPr>
          <w:szCs w:val="24"/>
        </w:rPr>
        <w:t xml:space="preserve">The </w:t>
      </w:r>
      <w:r w:rsidR="00967DC4" w:rsidRPr="00E27DDE">
        <w:rPr>
          <w:szCs w:val="24"/>
        </w:rPr>
        <w:t xml:space="preserve">key features of the </w:t>
      </w:r>
      <w:r w:rsidRPr="00E27DDE">
        <w:rPr>
          <w:szCs w:val="24"/>
        </w:rPr>
        <w:t>Skills and Employment Survey 2012</w:t>
      </w:r>
      <w:r w:rsidR="00E27DDE" w:rsidRPr="00E27DDE">
        <w:rPr>
          <w:szCs w:val="24"/>
        </w:rPr>
        <w:t xml:space="preserve"> are as follows</w:t>
      </w:r>
      <w:r w:rsidRPr="00E27DDE">
        <w:rPr>
          <w:szCs w:val="24"/>
        </w:rPr>
        <w:t>:</w:t>
      </w:r>
    </w:p>
    <w:p w:rsidR="00FC1B76" w:rsidRPr="00E27DDE" w:rsidRDefault="00FC1B76" w:rsidP="004C6832">
      <w:pPr>
        <w:jc w:val="both"/>
        <w:rPr>
          <w:szCs w:val="24"/>
        </w:rPr>
      </w:pPr>
    </w:p>
    <w:p w:rsidR="00FC1B76" w:rsidRPr="00E27DDE" w:rsidRDefault="00E27DDE" w:rsidP="004C6832">
      <w:pPr>
        <w:pStyle w:val="ListParagraph"/>
        <w:numPr>
          <w:ilvl w:val="0"/>
          <w:numId w:val="14"/>
        </w:numPr>
        <w:spacing w:after="0"/>
        <w:ind w:right="389"/>
        <w:jc w:val="both"/>
        <w:rPr>
          <w:rFonts w:ascii="Times New Roman" w:hAnsi="Times New Roman"/>
          <w:sz w:val="24"/>
          <w:szCs w:val="24"/>
        </w:rPr>
      </w:pPr>
      <w:r w:rsidRPr="00E27DDE">
        <w:rPr>
          <w:rFonts w:ascii="Times New Roman" w:hAnsi="Times New Roman"/>
          <w:sz w:val="24"/>
          <w:szCs w:val="24"/>
        </w:rPr>
        <w:t>It is the</w:t>
      </w:r>
      <w:r w:rsidR="00967DC4" w:rsidRPr="00E27DDE">
        <w:rPr>
          <w:rFonts w:ascii="Times New Roman" w:hAnsi="Times New Roman"/>
          <w:sz w:val="24"/>
          <w:szCs w:val="24"/>
        </w:rPr>
        <w:t xml:space="preserve"> s</w:t>
      </w:r>
      <w:r w:rsidR="00FC1B76" w:rsidRPr="00E27DDE">
        <w:rPr>
          <w:rFonts w:ascii="Times New Roman" w:hAnsi="Times New Roman"/>
          <w:sz w:val="24"/>
          <w:szCs w:val="24"/>
        </w:rPr>
        <w:t>eventh in a series of individual-level surveys of working life in Britain;</w:t>
      </w:r>
    </w:p>
    <w:p w:rsidR="00FC1B76" w:rsidRPr="00E27DDE" w:rsidRDefault="00E27DDE" w:rsidP="004C6832">
      <w:pPr>
        <w:pStyle w:val="ListParagraph"/>
        <w:numPr>
          <w:ilvl w:val="0"/>
          <w:numId w:val="14"/>
        </w:numPr>
        <w:spacing w:after="0"/>
        <w:ind w:right="389"/>
        <w:jc w:val="both"/>
        <w:rPr>
          <w:rFonts w:ascii="Times New Roman" w:hAnsi="Times New Roman"/>
          <w:sz w:val="24"/>
          <w:szCs w:val="24"/>
        </w:rPr>
      </w:pPr>
      <w:r w:rsidRPr="00E27DDE">
        <w:rPr>
          <w:rFonts w:ascii="Times New Roman" w:hAnsi="Times New Roman"/>
          <w:sz w:val="24"/>
          <w:szCs w:val="24"/>
        </w:rPr>
        <w:t xml:space="preserve">It comprises </w:t>
      </w:r>
      <w:r w:rsidR="00FC1B76" w:rsidRPr="00E27DDE">
        <w:rPr>
          <w:rFonts w:ascii="Times New Roman" w:hAnsi="Times New Roman"/>
          <w:sz w:val="24"/>
          <w:szCs w:val="24"/>
        </w:rPr>
        <w:t>data collected from 3,200 workers aged 20-65 years old;</w:t>
      </w:r>
    </w:p>
    <w:p w:rsidR="00FC1B76" w:rsidRPr="00E27DDE" w:rsidRDefault="00E27DDE" w:rsidP="004C6832">
      <w:pPr>
        <w:pStyle w:val="ListParagraph"/>
        <w:numPr>
          <w:ilvl w:val="0"/>
          <w:numId w:val="14"/>
        </w:numPr>
        <w:spacing w:after="0"/>
        <w:ind w:right="389"/>
        <w:jc w:val="both"/>
        <w:rPr>
          <w:rFonts w:ascii="Times New Roman" w:hAnsi="Times New Roman"/>
          <w:sz w:val="24"/>
          <w:szCs w:val="24"/>
        </w:rPr>
      </w:pPr>
      <w:r w:rsidRPr="00E27DDE">
        <w:rPr>
          <w:rFonts w:ascii="Times New Roman" w:hAnsi="Times New Roman"/>
          <w:sz w:val="24"/>
          <w:szCs w:val="24"/>
        </w:rPr>
        <w:t xml:space="preserve">It was </w:t>
      </w:r>
      <w:r w:rsidR="00FC1B76" w:rsidRPr="00E27DDE">
        <w:rPr>
          <w:rFonts w:ascii="Times New Roman" w:hAnsi="Times New Roman"/>
          <w:sz w:val="24"/>
          <w:szCs w:val="24"/>
        </w:rPr>
        <w:t xml:space="preserve">conducted in </w:t>
      </w:r>
      <w:r w:rsidR="00967DC4" w:rsidRPr="00E27DDE">
        <w:rPr>
          <w:rFonts w:ascii="Times New Roman" w:hAnsi="Times New Roman"/>
          <w:sz w:val="24"/>
          <w:szCs w:val="24"/>
        </w:rPr>
        <w:t>the period January-November 2012, with three-quarters of the interviews carried out in the first six months of the fieldwork;</w:t>
      </w:r>
    </w:p>
    <w:p w:rsidR="00E27DDE" w:rsidRPr="00E27DDE" w:rsidRDefault="00967DC4" w:rsidP="004C6832">
      <w:pPr>
        <w:pStyle w:val="ListParagraph"/>
        <w:numPr>
          <w:ilvl w:val="0"/>
          <w:numId w:val="14"/>
        </w:numPr>
        <w:spacing w:after="0"/>
        <w:ind w:right="389"/>
        <w:jc w:val="both"/>
        <w:rPr>
          <w:rFonts w:ascii="Times New Roman" w:hAnsi="Times New Roman"/>
          <w:b/>
          <w:sz w:val="24"/>
          <w:szCs w:val="24"/>
        </w:rPr>
      </w:pPr>
      <w:r w:rsidRPr="00E27DDE">
        <w:rPr>
          <w:rFonts w:ascii="Times New Roman" w:hAnsi="Times New Roman"/>
          <w:sz w:val="24"/>
          <w:szCs w:val="24"/>
        </w:rPr>
        <w:t>Interviews l</w:t>
      </w:r>
      <w:r w:rsidR="00E27DDE" w:rsidRPr="00E27DDE">
        <w:rPr>
          <w:rFonts w:ascii="Times New Roman" w:hAnsi="Times New Roman"/>
          <w:sz w:val="24"/>
          <w:szCs w:val="24"/>
        </w:rPr>
        <w:t>asted, on average, 59 minutes;</w:t>
      </w:r>
    </w:p>
    <w:p w:rsidR="00E27DDE" w:rsidRPr="00E27DDE" w:rsidRDefault="00967DC4" w:rsidP="004C6832">
      <w:pPr>
        <w:pStyle w:val="ListParagraph"/>
        <w:numPr>
          <w:ilvl w:val="0"/>
          <w:numId w:val="14"/>
        </w:numPr>
        <w:spacing w:after="0"/>
        <w:ind w:right="389"/>
        <w:jc w:val="both"/>
        <w:rPr>
          <w:rFonts w:ascii="Times New Roman" w:hAnsi="Times New Roman"/>
          <w:b/>
          <w:sz w:val="24"/>
          <w:szCs w:val="24"/>
        </w:rPr>
      </w:pPr>
      <w:r w:rsidRPr="00E27DDE">
        <w:rPr>
          <w:rFonts w:ascii="Times New Roman" w:hAnsi="Times New Roman"/>
          <w:sz w:val="24"/>
          <w:szCs w:val="24"/>
        </w:rPr>
        <w:t>The sample was drawn using random probability principals subject to stratification based on a number</w:t>
      </w:r>
      <w:r w:rsidR="00E27DDE" w:rsidRPr="00E27DDE">
        <w:rPr>
          <w:rFonts w:ascii="Times New Roman" w:hAnsi="Times New Roman"/>
          <w:sz w:val="24"/>
          <w:szCs w:val="24"/>
        </w:rPr>
        <w:t xml:space="preserve"> of socio-economic indicators;</w:t>
      </w:r>
    </w:p>
    <w:p w:rsidR="00967DC4" w:rsidRPr="00E27DDE" w:rsidRDefault="00967DC4" w:rsidP="004C6832">
      <w:pPr>
        <w:pStyle w:val="ListParagraph"/>
        <w:numPr>
          <w:ilvl w:val="0"/>
          <w:numId w:val="14"/>
        </w:numPr>
        <w:spacing w:after="0"/>
        <w:ind w:right="389"/>
        <w:jc w:val="both"/>
        <w:rPr>
          <w:rFonts w:ascii="Times New Roman" w:hAnsi="Times New Roman"/>
          <w:b/>
          <w:sz w:val="24"/>
          <w:szCs w:val="24"/>
        </w:rPr>
      </w:pPr>
      <w:r w:rsidRPr="00E27DDE">
        <w:rPr>
          <w:rFonts w:ascii="Times New Roman" w:hAnsi="Times New Roman"/>
          <w:sz w:val="24"/>
          <w:szCs w:val="24"/>
        </w:rPr>
        <w:t>Only one eligible respondent per address was randomly selected for interview; 49% of eligib</w:t>
      </w:r>
      <w:r w:rsidR="00E27DDE" w:rsidRPr="00E27DDE">
        <w:rPr>
          <w:rFonts w:ascii="Times New Roman" w:hAnsi="Times New Roman"/>
          <w:sz w:val="24"/>
          <w:szCs w:val="24"/>
        </w:rPr>
        <w:t>le interviewees</w:t>
      </w:r>
      <w:r w:rsidRPr="00E27DDE">
        <w:rPr>
          <w:rFonts w:ascii="Times New Roman" w:hAnsi="Times New Roman"/>
          <w:sz w:val="24"/>
          <w:szCs w:val="24"/>
        </w:rPr>
        <w:t xml:space="preserve"> completed the</w:t>
      </w:r>
      <w:r w:rsidR="00E27DDE" w:rsidRPr="00E27DDE">
        <w:rPr>
          <w:rFonts w:ascii="Times New Roman" w:hAnsi="Times New Roman"/>
          <w:sz w:val="24"/>
          <w:szCs w:val="24"/>
        </w:rPr>
        <w:t xml:space="preserve"> survey;</w:t>
      </w:r>
    </w:p>
    <w:p w:rsidR="00967DC4" w:rsidRPr="00E27DDE" w:rsidRDefault="00E27DDE" w:rsidP="004C6832">
      <w:pPr>
        <w:pStyle w:val="ListParagraph"/>
        <w:numPr>
          <w:ilvl w:val="0"/>
          <w:numId w:val="14"/>
        </w:numPr>
        <w:spacing w:after="0"/>
        <w:ind w:right="389"/>
        <w:jc w:val="both"/>
        <w:rPr>
          <w:rFonts w:ascii="Times New Roman" w:hAnsi="Times New Roman"/>
          <w:sz w:val="24"/>
          <w:szCs w:val="24"/>
        </w:rPr>
      </w:pPr>
      <w:r w:rsidRPr="00E27DDE">
        <w:rPr>
          <w:rFonts w:ascii="Times New Roman" w:hAnsi="Times New Roman"/>
          <w:sz w:val="24"/>
          <w:szCs w:val="24"/>
        </w:rPr>
        <w:t>Users of the 2012 survey and its predecessors have been provided with weights which adjust the sample for design and non-response effects.</w:t>
      </w:r>
    </w:p>
    <w:p w:rsidR="00C37DEA" w:rsidRPr="00FC1B76" w:rsidRDefault="00C37DEA" w:rsidP="00FC1B76">
      <w:pPr>
        <w:pStyle w:val="ListParagraph"/>
        <w:numPr>
          <w:ilvl w:val="0"/>
          <w:numId w:val="13"/>
        </w:numPr>
        <w:jc w:val="both"/>
        <w:rPr>
          <w:b/>
          <w:szCs w:val="24"/>
        </w:rPr>
      </w:pPr>
      <w:r w:rsidRPr="00FC1B76">
        <w:rPr>
          <w:b/>
          <w:szCs w:val="24"/>
        </w:rPr>
        <w:br w:type="page"/>
      </w:r>
    </w:p>
    <w:p w:rsidR="00307EE7" w:rsidRPr="005855A1" w:rsidRDefault="004E4624" w:rsidP="0068173B">
      <w:pPr>
        <w:jc w:val="center"/>
        <w:rPr>
          <w:b/>
          <w:szCs w:val="24"/>
        </w:rPr>
      </w:pPr>
      <w:r>
        <w:rPr>
          <w:b/>
          <w:szCs w:val="24"/>
        </w:rPr>
        <w:lastRenderedPageBreak/>
        <w:t xml:space="preserve">Table </w:t>
      </w:r>
      <w:r w:rsidR="00FC1B76">
        <w:rPr>
          <w:b/>
          <w:szCs w:val="24"/>
        </w:rPr>
        <w:t>A</w:t>
      </w:r>
      <w:r>
        <w:rPr>
          <w:b/>
          <w:szCs w:val="24"/>
        </w:rPr>
        <w:t>1</w:t>
      </w:r>
    </w:p>
    <w:p w:rsidR="00307EE7" w:rsidRPr="005855A1" w:rsidRDefault="00307EE7" w:rsidP="0068173B">
      <w:pPr>
        <w:jc w:val="center"/>
        <w:rPr>
          <w:b/>
          <w:szCs w:val="24"/>
        </w:rPr>
      </w:pPr>
      <w:r w:rsidRPr="005855A1">
        <w:rPr>
          <w:b/>
          <w:szCs w:val="24"/>
        </w:rPr>
        <w:t>Representativeness of the Skills and Employment Survey 2012</w:t>
      </w:r>
    </w:p>
    <w:p w:rsidR="00307EE7" w:rsidRPr="005855A1" w:rsidRDefault="00307EE7" w:rsidP="00470744">
      <w:pPr>
        <w:jc w:val="both"/>
        <w:rPr>
          <w:szCs w:val="24"/>
        </w:rPr>
      </w:pPr>
    </w:p>
    <w:p w:rsidR="00307EE7" w:rsidRPr="005855A1" w:rsidRDefault="00307EE7" w:rsidP="00470744">
      <w:pPr>
        <w:pStyle w:val="ListParagraph"/>
        <w:numPr>
          <w:ilvl w:val="0"/>
          <w:numId w:val="8"/>
        </w:numPr>
        <w:spacing w:after="0"/>
        <w:ind w:left="360" w:right="389"/>
        <w:jc w:val="both"/>
        <w:rPr>
          <w:rFonts w:ascii="Times New Roman" w:hAnsi="Times New Roman"/>
          <w:i/>
          <w:sz w:val="24"/>
          <w:szCs w:val="24"/>
        </w:rPr>
      </w:pPr>
      <w:r w:rsidRPr="005855A1">
        <w:rPr>
          <w:rFonts w:ascii="Times New Roman" w:hAnsi="Times New Roman"/>
          <w:i/>
          <w:sz w:val="24"/>
          <w:szCs w:val="24"/>
        </w:rPr>
        <w:t>20-65 Year Olds</w:t>
      </w:r>
    </w:p>
    <w:tbl>
      <w:tblPr>
        <w:tblW w:w="63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1499"/>
        <w:gridCol w:w="1289"/>
      </w:tblGrid>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Sex</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SES2012</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LFS Quarter 2, 2012</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Male</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47.6</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53.8</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Female</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52.4</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46.2</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499" w:type="dxa"/>
            <w:vAlign w:val="bottom"/>
          </w:tcPr>
          <w:p w:rsidR="00307EE7" w:rsidRPr="005855A1" w:rsidRDefault="00307EE7" w:rsidP="0068173B">
            <w:pPr>
              <w:ind w:left="-110" w:right="-47"/>
              <w:jc w:val="center"/>
              <w:rPr>
                <w:color w:val="000000"/>
                <w:szCs w:val="24"/>
              </w:rPr>
            </w:pPr>
          </w:p>
        </w:tc>
        <w:tc>
          <w:tcPr>
            <w:tcW w:w="1289" w:type="dxa"/>
            <w:vAlign w:val="bottom"/>
          </w:tcPr>
          <w:p w:rsidR="00307EE7" w:rsidRPr="005855A1" w:rsidRDefault="00307EE7" w:rsidP="0068173B">
            <w:pPr>
              <w:ind w:left="-139" w:right="-108"/>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Age</w:t>
            </w:r>
          </w:p>
        </w:tc>
        <w:tc>
          <w:tcPr>
            <w:tcW w:w="1499" w:type="dxa"/>
            <w:vAlign w:val="bottom"/>
          </w:tcPr>
          <w:p w:rsidR="00307EE7" w:rsidRPr="005855A1" w:rsidRDefault="00307EE7" w:rsidP="0068173B">
            <w:pPr>
              <w:ind w:left="-110" w:right="-47"/>
              <w:jc w:val="center"/>
              <w:rPr>
                <w:color w:val="000000"/>
                <w:szCs w:val="24"/>
              </w:rPr>
            </w:pPr>
          </w:p>
        </w:tc>
        <w:tc>
          <w:tcPr>
            <w:tcW w:w="1289" w:type="dxa"/>
            <w:vAlign w:val="bottom"/>
          </w:tcPr>
          <w:p w:rsidR="00307EE7" w:rsidRPr="005855A1" w:rsidRDefault="00307EE7" w:rsidP="0068173B">
            <w:pPr>
              <w:ind w:left="-139" w:right="-108"/>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20-29</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17.5</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21.8</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30-39</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21.7</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23.2</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40-49</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28.6</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27.2</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50-60</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25.7</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22.7</w:t>
            </w:r>
          </w:p>
        </w:tc>
      </w:tr>
      <w:tr w:rsidR="00307EE7" w:rsidRPr="005855A1" w:rsidTr="0068173B">
        <w:trPr>
          <w:trHeight w:val="300"/>
        </w:trPr>
        <w:tc>
          <w:tcPr>
            <w:tcW w:w="3520" w:type="dxa"/>
            <w:shd w:val="clear" w:color="auto" w:fill="auto"/>
            <w:noWrap/>
            <w:vAlign w:val="bottom"/>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61-65</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6.5</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5.2</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499" w:type="dxa"/>
            <w:vAlign w:val="bottom"/>
          </w:tcPr>
          <w:p w:rsidR="00307EE7" w:rsidRPr="005855A1" w:rsidRDefault="00307EE7" w:rsidP="0068173B">
            <w:pPr>
              <w:ind w:left="-110" w:right="-47"/>
              <w:jc w:val="center"/>
              <w:rPr>
                <w:color w:val="000000"/>
                <w:szCs w:val="24"/>
              </w:rPr>
            </w:pPr>
          </w:p>
        </w:tc>
        <w:tc>
          <w:tcPr>
            <w:tcW w:w="1289" w:type="dxa"/>
            <w:vAlign w:val="bottom"/>
          </w:tcPr>
          <w:p w:rsidR="00307EE7" w:rsidRPr="005855A1" w:rsidRDefault="00307EE7" w:rsidP="0068173B">
            <w:pPr>
              <w:ind w:left="-139" w:right="-108"/>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SOC 2010 Occupations</w:t>
            </w:r>
          </w:p>
        </w:tc>
        <w:tc>
          <w:tcPr>
            <w:tcW w:w="1499" w:type="dxa"/>
            <w:vAlign w:val="bottom"/>
          </w:tcPr>
          <w:p w:rsidR="00307EE7" w:rsidRPr="005855A1" w:rsidRDefault="00307EE7" w:rsidP="0068173B">
            <w:pPr>
              <w:ind w:left="-110" w:right="-47"/>
              <w:jc w:val="center"/>
              <w:rPr>
                <w:color w:val="000000"/>
                <w:szCs w:val="24"/>
              </w:rPr>
            </w:pPr>
          </w:p>
        </w:tc>
        <w:tc>
          <w:tcPr>
            <w:tcW w:w="1289" w:type="dxa"/>
            <w:vAlign w:val="bottom"/>
          </w:tcPr>
          <w:p w:rsidR="00307EE7" w:rsidRPr="005855A1" w:rsidRDefault="00307EE7" w:rsidP="0068173B">
            <w:pPr>
              <w:ind w:left="-139" w:right="-108"/>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886BAA">
            <w:pPr>
              <w:rPr>
                <w:rFonts w:eastAsia="Times New Roman"/>
                <w:color w:val="000000"/>
                <w:szCs w:val="24"/>
                <w:lang w:eastAsia="en-GB"/>
              </w:rPr>
            </w:pPr>
            <w:r w:rsidRPr="005855A1">
              <w:rPr>
                <w:rFonts w:eastAsia="Times New Roman"/>
                <w:color w:val="000000"/>
                <w:szCs w:val="24"/>
                <w:lang w:eastAsia="en-GB"/>
              </w:rPr>
              <w:t>Managers, Directors and Senior Official</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10.4</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10.4</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Professionals</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18.1</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20.2</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Associate Professionals</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14.</w:t>
            </w:r>
            <w:r w:rsidR="00410FA2">
              <w:rPr>
                <w:color w:val="000000"/>
                <w:szCs w:val="24"/>
              </w:rPr>
              <w:t>7</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14.3</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Administrative &amp; Secretarial</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10.</w:t>
            </w:r>
            <w:r w:rsidR="00410FA2">
              <w:rPr>
                <w:color w:val="000000"/>
                <w:szCs w:val="24"/>
              </w:rPr>
              <w:t>7</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11.2</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Skilled Trades</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11.</w:t>
            </w:r>
            <w:r w:rsidR="00410FA2">
              <w:rPr>
                <w:color w:val="000000"/>
                <w:szCs w:val="24"/>
              </w:rPr>
              <w:t>5</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10.8</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Caring and Leisure</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11.</w:t>
            </w:r>
            <w:r w:rsidR="00410FA2">
              <w:rPr>
                <w:color w:val="000000"/>
                <w:szCs w:val="24"/>
              </w:rPr>
              <w:t>5</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9.0</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Sales and Customer Service</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6.</w:t>
            </w:r>
            <w:r w:rsidR="00410FA2">
              <w:rPr>
                <w:color w:val="000000"/>
                <w:szCs w:val="24"/>
              </w:rPr>
              <w:t>9</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7.6</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Plant &amp; Machine Operatives</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6.</w:t>
            </w:r>
            <w:r w:rsidR="00410FA2">
              <w:rPr>
                <w:color w:val="000000"/>
                <w:szCs w:val="24"/>
              </w:rPr>
              <w:t>4</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6.5</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Elementary</w:t>
            </w:r>
          </w:p>
        </w:tc>
        <w:tc>
          <w:tcPr>
            <w:tcW w:w="1499" w:type="dxa"/>
            <w:vAlign w:val="bottom"/>
          </w:tcPr>
          <w:p w:rsidR="00307EE7" w:rsidRPr="005855A1" w:rsidRDefault="00307EE7" w:rsidP="0068173B">
            <w:pPr>
              <w:ind w:left="-110" w:right="-47"/>
              <w:jc w:val="center"/>
              <w:rPr>
                <w:color w:val="000000"/>
                <w:szCs w:val="24"/>
              </w:rPr>
            </w:pPr>
            <w:r w:rsidRPr="005855A1">
              <w:rPr>
                <w:color w:val="000000"/>
                <w:szCs w:val="24"/>
              </w:rPr>
              <w:t>9.</w:t>
            </w:r>
            <w:r w:rsidR="00410FA2">
              <w:rPr>
                <w:color w:val="000000"/>
                <w:szCs w:val="24"/>
              </w:rPr>
              <w:t>8</w:t>
            </w:r>
          </w:p>
        </w:tc>
        <w:tc>
          <w:tcPr>
            <w:tcW w:w="1289" w:type="dxa"/>
            <w:vAlign w:val="bottom"/>
          </w:tcPr>
          <w:p w:rsidR="00307EE7" w:rsidRPr="005855A1" w:rsidRDefault="00307EE7" w:rsidP="0068173B">
            <w:pPr>
              <w:ind w:left="-139" w:right="-108"/>
              <w:jc w:val="center"/>
              <w:rPr>
                <w:color w:val="000000"/>
                <w:szCs w:val="24"/>
              </w:rPr>
            </w:pPr>
            <w:r w:rsidRPr="005855A1">
              <w:rPr>
                <w:color w:val="000000"/>
                <w:szCs w:val="24"/>
              </w:rPr>
              <w:t>10.0</w:t>
            </w:r>
          </w:p>
        </w:tc>
      </w:tr>
    </w:tbl>
    <w:p w:rsidR="00307EE7" w:rsidRPr="005855A1" w:rsidRDefault="00307EE7" w:rsidP="00470744">
      <w:pPr>
        <w:jc w:val="both"/>
        <w:rPr>
          <w:szCs w:val="24"/>
        </w:rPr>
      </w:pPr>
    </w:p>
    <w:p w:rsidR="00307EE7" w:rsidRPr="005855A1" w:rsidRDefault="00307EE7" w:rsidP="00470744">
      <w:pPr>
        <w:pStyle w:val="ListParagraph"/>
        <w:numPr>
          <w:ilvl w:val="0"/>
          <w:numId w:val="8"/>
        </w:numPr>
        <w:spacing w:after="0"/>
        <w:ind w:left="360" w:right="389"/>
        <w:jc w:val="both"/>
        <w:rPr>
          <w:rFonts w:ascii="Times New Roman" w:hAnsi="Times New Roman"/>
          <w:i/>
          <w:sz w:val="24"/>
          <w:szCs w:val="24"/>
        </w:rPr>
      </w:pPr>
      <w:r w:rsidRPr="005855A1">
        <w:rPr>
          <w:rFonts w:ascii="Times New Roman" w:hAnsi="Times New Roman"/>
          <w:i/>
          <w:sz w:val="24"/>
          <w:szCs w:val="24"/>
        </w:rPr>
        <w:t>20-60 Year Olds</w:t>
      </w:r>
    </w:p>
    <w:tbl>
      <w:tblPr>
        <w:tblW w:w="633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1528"/>
        <w:gridCol w:w="1289"/>
      </w:tblGrid>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Sex</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SES2012</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LFS Quarter 2, 2012</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Male</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46.7</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53.4</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Female</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53.3</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46.6</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528" w:type="dxa"/>
            <w:vAlign w:val="bottom"/>
          </w:tcPr>
          <w:p w:rsidR="00307EE7" w:rsidRPr="005855A1" w:rsidRDefault="00307EE7" w:rsidP="0068173B">
            <w:pPr>
              <w:ind w:left="-110" w:right="-18"/>
              <w:jc w:val="center"/>
              <w:rPr>
                <w:color w:val="000000"/>
                <w:szCs w:val="24"/>
              </w:rPr>
            </w:pPr>
          </w:p>
        </w:tc>
        <w:tc>
          <w:tcPr>
            <w:tcW w:w="1289" w:type="dxa"/>
            <w:vAlign w:val="bottom"/>
          </w:tcPr>
          <w:p w:rsidR="00307EE7" w:rsidRPr="005855A1" w:rsidRDefault="00307EE7" w:rsidP="0068173B">
            <w:pPr>
              <w:ind w:left="-49"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Age</w:t>
            </w:r>
          </w:p>
        </w:tc>
        <w:tc>
          <w:tcPr>
            <w:tcW w:w="1528" w:type="dxa"/>
            <w:vAlign w:val="bottom"/>
          </w:tcPr>
          <w:p w:rsidR="00307EE7" w:rsidRPr="005855A1" w:rsidRDefault="00307EE7" w:rsidP="0068173B">
            <w:pPr>
              <w:ind w:left="-110" w:right="-18"/>
              <w:jc w:val="center"/>
              <w:rPr>
                <w:color w:val="000000"/>
                <w:szCs w:val="24"/>
              </w:rPr>
            </w:pPr>
          </w:p>
        </w:tc>
        <w:tc>
          <w:tcPr>
            <w:tcW w:w="1289" w:type="dxa"/>
            <w:vAlign w:val="bottom"/>
          </w:tcPr>
          <w:p w:rsidR="00307EE7" w:rsidRPr="005855A1" w:rsidRDefault="00307EE7" w:rsidP="0068173B">
            <w:pPr>
              <w:ind w:left="-49"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20-29</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18.7</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23.0</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30-39</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23.2</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24.5</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40-49</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30.6</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28.6</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50-60</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27.5</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23.9</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528" w:type="dxa"/>
            <w:vAlign w:val="bottom"/>
          </w:tcPr>
          <w:p w:rsidR="00307EE7" w:rsidRPr="005855A1" w:rsidRDefault="00307EE7" w:rsidP="0068173B">
            <w:pPr>
              <w:ind w:left="-110" w:right="-18"/>
              <w:jc w:val="center"/>
              <w:rPr>
                <w:color w:val="000000"/>
                <w:szCs w:val="24"/>
              </w:rPr>
            </w:pPr>
          </w:p>
        </w:tc>
        <w:tc>
          <w:tcPr>
            <w:tcW w:w="1289" w:type="dxa"/>
            <w:vAlign w:val="bottom"/>
          </w:tcPr>
          <w:p w:rsidR="00307EE7" w:rsidRPr="005855A1" w:rsidRDefault="00307EE7" w:rsidP="0068173B">
            <w:pPr>
              <w:ind w:left="-49"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SOC 2010 Occupations</w:t>
            </w:r>
          </w:p>
        </w:tc>
        <w:tc>
          <w:tcPr>
            <w:tcW w:w="1528" w:type="dxa"/>
            <w:vAlign w:val="bottom"/>
          </w:tcPr>
          <w:p w:rsidR="00307EE7" w:rsidRPr="005855A1" w:rsidRDefault="00307EE7" w:rsidP="0068173B">
            <w:pPr>
              <w:ind w:left="-110" w:right="-18"/>
              <w:jc w:val="center"/>
              <w:rPr>
                <w:color w:val="000000"/>
                <w:szCs w:val="24"/>
              </w:rPr>
            </w:pPr>
          </w:p>
        </w:tc>
        <w:tc>
          <w:tcPr>
            <w:tcW w:w="1289" w:type="dxa"/>
            <w:vAlign w:val="bottom"/>
          </w:tcPr>
          <w:p w:rsidR="00307EE7" w:rsidRPr="005855A1" w:rsidRDefault="00307EE7" w:rsidP="0068173B">
            <w:pPr>
              <w:ind w:left="-49"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886BAA">
            <w:pPr>
              <w:rPr>
                <w:rFonts w:eastAsia="Times New Roman"/>
                <w:color w:val="000000"/>
                <w:szCs w:val="24"/>
                <w:lang w:eastAsia="en-GB"/>
              </w:rPr>
            </w:pPr>
            <w:r w:rsidRPr="005855A1">
              <w:rPr>
                <w:rFonts w:eastAsia="Times New Roman"/>
                <w:color w:val="000000"/>
                <w:szCs w:val="24"/>
                <w:lang w:eastAsia="en-GB"/>
              </w:rPr>
              <w:t>Managers, Directors and Senior Official</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10.5</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10.3</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Professionals</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18.</w:t>
            </w:r>
            <w:r w:rsidR="000F4C70">
              <w:rPr>
                <w:color w:val="000000"/>
                <w:szCs w:val="24"/>
              </w:rPr>
              <w:t>3</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20.3</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Associate Professionals</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14.</w:t>
            </w:r>
            <w:r w:rsidR="000F4C70">
              <w:rPr>
                <w:color w:val="000000"/>
                <w:szCs w:val="24"/>
              </w:rPr>
              <w:t>6</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14.5</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lastRenderedPageBreak/>
              <w:t>Administrative &amp; Secretarial</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10.</w:t>
            </w:r>
            <w:r w:rsidR="000F4C70">
              <w:rPr>
                <w:color w:val="000000"/>
                <w:szCs w:val="24"/>
              </w:rPr>
              <w:t>5</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11.0</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Skilled Trades</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11.6</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10.7</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Caring and Leisure</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11.</w:t>
            </w:r>
            <w:r w:rsidR="000F4C70">
              <w:rPr>
                <w:color w:val="000000"/>
                <w:szCs w:val="24"/>
              </w:rPr>
              <w:t>8</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9.1</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Sales and Customer Service</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6.</w:t>
            </w:r>
            <w:r w:rsidR="000F4C70">
              <w:rPr>
                <w:color w:val="000000"/>
                <w:szCs w:val="24"/>
              </w:rPr>
              <w:t>9</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7.7</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Plant &amp; Machine Operatives</w:t>
            </w:r>
          </w:p>
        </w:tc>
        <w:tc>
          <w:tcPr>
            <w:tcW w:w="1528" w:type="dxa"/>
            <w:vAlign w:val="bottom"/>
          </w:tcPr>
          <w:p w:rsidR="00307EE7" w:rsidRPr="005855A1" w:rsidRDefault="000F4C70" w:rsidP="0068173B">
            <w:pPr>
              <w:ind w:left="-110" w:right="-18"/>
              <w:jc w:val="center"/>
              <w:rPr>
                <w:color w:val="000000"/>
                <w:szCs w:val="24"/>
              </w:rPr>
            </w:pPr>
            <w:r>
              <w:rPr>
                <w:color w:val="000000"/>
                <w:szCs w:val="24"/>
              </w:rPr>
              <w:t>6.0</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6.4</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Elementary</w:t>
            </w:r>
          </w:p>
        </w:tc>
        <w:tc>
          <w:tcPr>
            <w:tcW w:w="1528" w:type="dxa"/>
            <w:vAlign w:val="bottom"/>
          </w:tcPr>
          <w:p w:rsidR="00307EE7" w:rsidRPr="005855A1" w:rsidRDefault="00307EE7" w:rsidP="0068173B">
            <w:pPr>
              <w:ind w:left="-110" w:right="-18"/>
              <w:jc w:val="center"/>
              <w:rPr>
                <w:color w:val="000000"/>
                <w:szCs w:val="24"/>
              </w:rPr>
            </w:pPr>
            <w:r w:rsidRPr="005855A1">
              <w:rPr>
                <w:color w:val="000000"/>
                <w:szCs w:val="24"/>
              </w:rPr>
              <w:t>9.9</w:t>
            </w:r>
          </w:p>
        </w:tc>
        <w:tc>
          <w:tcPr>
            <w:tcW w:w="1289" w:type="dxa"/>
            <w:vAlign w:val="bottom"/>
          </w:tcPr>
          <w:p w:rsidR="00307EE7" w:rsidRPr="005855A1" w:rsidRDefault="00307EE7" w:rsidP="0068173B">
            <w:pPr>
              <w:ind w:left="-49" w:right="-79"/>
              <w:jc w:val="center"/>
              <w:rPr>
                <w:color w:val="000000"/>
                <w:szCs w:val="24"/>
              </w:rPr>
            </w:pPr>
            <w:r w:rsidRPr="005855A1">
              <w:rPr>
                <w:color w:val="000000"/>
                <w:szCs w:val="24"/>
              </w:rPr>
              <w:t>10.0</w:t>
            </w:r>
          </w:p>
        </w:tc>
      </w:tr>
    </w:tbl>
    <w:p w:rsidR="00BA3C18" w:rsidRPr="00BA3C18" w:rsidRDefault="00BA3C18" w:rsidP="00470744">
      <w:pPr>
        <w:jc w:val="both"/>
        <w:rPr>
          <w:i/>
          <w:szCs w:val="24"/>
        </w:rPr>
      </w:pPr>
      <w:r w:rsidRPr="00BA3C18">
        <w:rPr>
          <w:i/>
          <w:szCs w:val="24"/>
        </w:rPr>
        <w:t>Note:</w:t>
      </w:r>
    </w:p>
    <w:p w:rsidR="00307EE7" w:rsidRPr="005855A1" w:rsidRDefault="00BA3C18" w:rsidP="00470744">
      <w:pPr>
        <w:jc w:val="both"/>
        <w:rPr>
          <w:szCs w:val="24"/>
        </w:rPr>
      </w:pPr>
      <w:r>
        <w:rPr>
          <w:szCs w:val="24"/>
        </w:rPr>
        <w:t>The survey is weighted by the design weight, while the LFS by the representativeness weight supplied with the data.</w:t>
      </w:r>
      <w:r w:rsidR="00307EE7" w:rsidRPr="005855A1">
        <w:rPr>
          <w:szCs w:val="24"/>
        </w:rPr>
        <w:br w:type="page"/>
      </w:r>
    </w:p>
    <w:p w:rsidR="00307EE7" w:rsidRPr="005855A1" w:rsidRDefault="00FC1B76" w:rsidP="0068173B">
      <w:pPr>
        <w:jc w:val="center"/>
        <w:rPr>
          <w:b/>
          <w:szCs w:val="24"/>
        </w:rPr>
      </w:pPr>
      <w:r>
        <w:rPr>
          <w:b/>
          <w:szCs w:val="24"/>
        </w:rPr>
        <w:lastRenderedPageBreak/>
        <w:t>Table A</w:t>
      </w:r>
      <w:r w:rsidR="004E4624">
        <w:rPr>
          <w:b/>
          <w:szCs w:val="24"/>
        </w:rPr>
        <w:t>2</w:t>
      </w:r>
    </w:p>
    <w:p w:rsidR="00307EE7" w:rsidRPr="005855A1" w:rsidRDefault="00307EE7" w:rsidP="0068173B">
      <w:pPr>
        <w:jc w:val="center"/>
        <w:rPr>
          <w:b/>
          <w:szCs w:val="24"/>
        </w:rPr>
      </w:pPr>
      <w:r w:rsidRPr="005855A1">
        <w:rPr>
          <w:b/>
          <w:szCs w:val="24"/>
        </w:rPr>
        <w:t>Representativeness of the Skills Survey 2006</w:t>
      </w:r>
    </w:p>
    <w:p w:rsidR="00307EE7" w:rsidRPr="005855A1" w:rsidRDefault="00307EE7" w:rsidP="00470744">
      <w:pPr>
        <w:jc w:val="both"/>
        <w:rPr>
          <w:szCs w:val="24"/>
        </w:rPr>
      </w:pPr>
    </w:p>
    <w:p w:rsidR="00307EE7" w:rsidRPr="005855A1" w:rsidRDefault="00307EE7" w:rsidP="00470744">
      <w:pPr>
        <w:pStyle w:val="ListParagraph"/>
        <w:numPr>
          <w:ilvl w:val="0"/>
          <w:numId w:val="9"/>
        </w:numPr>
        <w:spacing w:after="0"/>
        <w:ind w:left="360" w:right="389"/>
        <w:jc w:val="both"/>
        <w:rPr>
          <w:rFonts w:ascii="Times New Roman" w:hAnsi="Times New Roman"/>
          <w:i/>
          <w:sz w:val="24"/>
          <w:szCs w:val="24"/>
        </w:rPr>
      </w:pPr>
      <w:r w:rsidRPr="005855A1">
        <w:rPr>
          <w:rFonts w:ascii="Times New Roman" w:hAnsi="Times New Roman"/>
          <w:i/>
          <w:sz w:val="24"/>
          <w:szCs w:val="24"/>
        </w:rPr>
        <w:t>20-65 Year Olds</w:t>
      </w:r>
    </w:p>
    <w:tbl>
      <w:tblPr>
        <w:tblW w:w="57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1078"/>
        <w:gridCol w:w="1199"/>
      </w:tblGrid>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Sex</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SS06</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LFS Quarter 2, 2006</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Male</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49.6</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54.0</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Female</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50.4</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46.0</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78" w:type="dxa"/>
            <w:vAlign w:val="bottom"/>
          </w:tcPr>
          <w:p w:rsidR="00307EE7" w:rsidRPr="005855A1" w:rsidRDefault="00307EE7" w:rsidP="0068173B">
            <w:pPr>
              <w:tabs>
                <w:tab w:val="left" w:pos="786"/>
              </w:tabs>
              <w:ind w:left="-110" w:right="-4"/>
              <w:jc w:val="center"/>
              <w:rPr>
                <w:color w:val="000000"/>
                <w:szCs w:val="24"/>
              </w:rPr>
            </w:pPr>
          </w:p>
        </w:tc>
        <w:tc>
          <w:tcPr>
            <w:tcW w:w="1199" w:type="dxa"/>
            <w:vAlign w:val="bottom"/>
          </w:tcPr>
          <w:p w:rsidR="00307EE7" w:rsidRPr="005855A1" w:rsidRDefault="00307EE7" w:rsidP="00643003">
            <w:pPr>
              <w:ind w:left="-108"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Age</w:t>
            </w:r>
          </w:p>
        </w:tc>
        <w:tc>
          <w:tcPr>
            <w:tcW w:w="1078" w:type="dxa"/>
            <w:vAlign w:val="bottom"/>
          </w:tcPr>
          <w:p w:rsidR="00307EE7" w:rsidRPr="005855A1" w:rsidRDefault="00307EE7" w:rsidP="0068173B">
            <w:pPr>
              <w:tabs>
                <w:tab w:val="left" w:pos="786"/>
              </w:tabs>
              <w:ind w:left="-110" w:right="-4"/>
              <w:jc w:val="center"/>
              <w:rPr>
                <w:color w:val="000000"/>
                <w:szCs w:val="24"/>
              </w:rPr>
            </w:pPr>
          </w:p>
        </w:tc>
        <w:tc>
          <w:tcPr>
            <w:tcW w:w="1199" w:type="dxa"/>
            <w:vAlign w:val="bottom"/>
          </w:tcPr>
          <w:p w:rsidR="00307EE7" w:rsidRPr="005855A1" w:rsidRDefault="00307EE7" w:rsidP="00643003">
            <w:pPr>
              <w:ind w:left="-108"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20-29</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16.5</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21</w:t>
            </w:r>
            <w:r w:rsidR="00643003">
              <w:rPr>
                <w:color w:val="000000"/>
                <w:szCs w:val="24"/>
              </w:rPr>
              <w:t>.0</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30-39</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26.5</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25.7</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40-49</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28.9</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26.9</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50-60</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24.1</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22.2</w:t>
            </w:r>
          </w:p>
        </w:tc>
      </w:tr>
      <w:tr w:rsidR="00307EE7" w:rsidRPr="005855A1" w:rsidTr="0068173B">
        <w:trPr>
          <w:trHeight w:val="300"/>
        </w:trPr>
        <w:tc>
          <w:tcPr>
            <w:tcW w:w="3520" w:type="dxa"/>
            <w:shd w:val="clear" w:color="auto" w:fill="auto"/>
            <w:noWrap/>
            <w:vAlign w:val="bottom"/>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61-65</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4.1</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4.3</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78" w:type="dxa"/>
            <w:vAlign w:val="bottom"/>
          </w:tcPr>
          <w:p w:rsidR="00307EE7" w:rsidRPr="005855A1" w:rsidRDefault="00307EE7" w:rsidP="0068173B">
            <w:pPr>
              <w:tabs>
                <w:tab w:val="left" w:pos="786"/>
              </w:tabs>
              <w:ind w:left="-110" w:right="-4"/>
              <w:jc w:val="center"/>
              <w:rPr>
                <w:color w:val="000000"/>
                <w:szCs w:val="24"/>
              </w:rPr>
            </w:pPr>
          </w:p>
        </w:tc>
        <w:tc>
          <w:tcPr>
            <w:tcW w:w="1199" w:type="dxa"/>
            <w:vAlign w:val="bottom"/>
          </w:tcPr>
          <w:p w:rsidR="00307EE7" w:rsidRPr="005855A1" w:rsidRDefault="00307EE7" w:rsidP="00643003">
            <w:pPr>
              <w:ind w:left="-108"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SOC 2000 Occupations</w:t>
            </w:r>
          </w:p>
        </w:tc>
        <w:tc>
          <w:tcPr>
            <w:tcW w:w="1078" w:type="dxa"/>
            <w:vAlign w:val="bottom"/>
          </w:tcPr>
          <w:p w:rsidR="00307EE7" w:rsidRPr="005855A1" w:rsidRDefault="00307EE7" w:rsidP="0068173B">
            <w:pPr>
              <w:tabs>
                <w:tab w:val="left" w:pos="786"/>
              </w:tabs>
              <w:ind w:left="-110" w:right="-4"/>
              <w:jc w:val="center"/>
              <w:rPr>
                <w:color w:val="000000"/>
                <w:szCs w:val="24"/>
              </w:rPr>
            </w:pPr>
          </w:p>
        </w:tc>
        <w:tc>
          <w:tcPr>
            <w:tcW w:w="1199" w:type="dxa"/>
            <w:vAlign w:val="bottom"/>
          </w:tcPr>
          <w:p w:rsidR="00307EE7" w:rsidRPr="005855A1" w:rsidRDefault="00307EE7" w:rsidP="00643003">
            <w:pPr>
              <w:ind w:left="-108" w:right="-79"/>
              <w:jc w:val="center"/>
              <w:rPr>
                <w:color w:val="000000"/>
                <w:szCs w:val="24"/>
              </w:rPr>
            </w:pP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Managers</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15.4</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16</w:t>
            </w:r>
            <w:r w:rsidR="00643003">
              <w:rPr>
                <w:color w:val="000000"/>
                <w:szCs w:val="24"/>
              </w:rPr>
              <w:t>.0</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Professionals</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12.2</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13.8</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Associate Professionals</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15.8</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15</w:t>
            </w:r>
            <w:r w:rsidR="00643003">
              <w:rPr>
                <w:color w:val="000000"/>
                <w:szCs w:val="24"/>
              </w:rPr>
              <w:t>.0</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Administrative &amp; Secretarial</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12.6</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12.2</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Skilled Trades</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11.1</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10.7</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Personal Services</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8.2</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7.8</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Sales</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6.4</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6.5</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Plant &amp; Machine Operatives</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8.1</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7.7</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Elementary</w:t>
            </w:r>
          </w:p>
        </w:tc>
        <w:tc>
          <w:tcPr>
            <w:tcW w:w="1078" w:type="dxa"/>
            <w:vAlign w:val="bottom"/>
          </w:tcPr>
          <w:p w:rsidR="00307EE7" w:rsidRPr="005855A1" w:rsidRDefault="00307EE7" w:rsidP="0068173B">
            <w:pPr>
              <w:tabs>
                <w:tab w:val="left" w:pos="786"/>
              </w:tabs>
              <w:ind w:left="-110" w:right="-4"/>
              <w:jc w:val="center"/>
              <w:rPr>
                <w:color w:val="000000"/>
                <w:szCs w:val="24"/>
              </w:rPr>
            </w:pPr>
            <w:r w:rsidRPr="005855A1">
              <w:rPr>
                <w:color w:val="000000"/>
                <w:szCs w:val="24"/>
              </w:rPr>
              <w:t>10.1</w:t>
            </w:r>
          </w:p>
        </w:tc>
        <w:tc>
          <w:tcPr>
            <w:tcW w:w="1199" w:type="dxa"/>
            <w:vAlign w:val="bottom"/>
          </w:tcPr>
          <w:p w:rsidR="00307EE7" w:rsidRPr="005855A1" w:rsidRDefault="00307EE7" w:rsidP="00643003">
            <w:pPr>
              <w:ind w:left="-108" w:right="-79"/>
              <w:jc w:val="center"/>
              <w:rPr>
                <w:color w:val="000000"/>
                <w:szCs w:val="24"/>
              </w:rPr>
            </w:pPr>
            <w:r w:rsidRPr="005855A1">
              <w:rPr>
                <w:color w:val="000000"/>
                <w:szCs w:val="24"/>
              </w:rPr>
              <w:t>10.4</w:t>
            </w:r>
          </w:p>
        </w:tc>
      </w:tr>
    </w:tbl>
    <w:p w:rsidR="00307EE7" w:rsidRPr="005855A1" w:rsidRDefault="00307EE7" w:rsidP="00470744">
      <w:pPr>
        <w:jc w:val="both"/>
        <w:rPr>
          <w:szCs w:val="24"/>
        </w:rPr>
      </w:pPr>
    </w:p>
    <w:p w:rsidR="00307EE7" w:rsidRPr="005855A1" w:rsidRDefault="00307EE7" w:rsidP="00470744">
      <w:pPr>
        <w:jc w:val="both"/>
        <w:rPr>
          <w:szCs w:val="24"/>
        </w:rPr>
      </w:pPr>
      <w:r w:rsidRPr="005855A1">
        <w:rPr>
          <w:i/>
          <w:szCs w:val="24"/>
        </w:rPr>
        <w:t>(b) 20-60 Year Olds</w:t>
      </w:r>
    </w:p>
    <w:tbl>
      <w:tblPr>
        <w:tblW w:w="57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1078"/>
        <w:gridCol w:w="1199"/>
      </w:tblGrid>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Sex</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SS06</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LFS Quarter 2, 2006</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Male</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49.0</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53.6</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Female</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51.0</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46.4</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78" w:type="dxa"/>
            <w:vAlign w:val="bottom"/>
          </w:tcPr>
          <w:p w:rsidR="00307EE7" w:rsidRPr="005855A1" w:rsidRDefault="00307EE7" w:rsidP="0068173B">
            <w:pPr>
              <w:ind w:left="-110" w:right="-108"/>
              <w:jc w:val="center"/>
              <w:rPr>
                <w:color w:val="000000"/>
                <w:szCs w:val="24"/>
              </w:rPr>
            </w:pPr>
          </w:p>
        </w:tc>
        <w:tc>
          <w:tcPr>
            <w:tcW w:w="1199" w:type="dxa"/>
            <w:vAlign w:val="bottom"/>
          </w:tcPr>
          <w:p w:rsidR="00307EE7" w:rsidRPr="005855A1" w:rsidRDefault="00307EE7" w:rsidP="00643003">
            <w:pPr>
              <w:tabs>
                <w:tab w:val="left" w:pos="983"/>
              </w:tabs>
              <w:ind w:left="-108"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Age</w:t>
            </w:r>
          </w:p>
        </w:tc>
        <w:tc>
          <w:tcPr>
            <w:tcW w:w="1078" w:type="dxa"/>
            <w:vAlign w:val="bottom"/>
          </w:tcPr>
          <w:p w:rsidR="00307EE7" w:rsidRPr="005855A1" w:rsidRDefault="00307EE7" w:rsidP="0068173B">
            <w:pPr>
              <w:ind w:left="-110" w:right="-108"/>
              <w:jc w:val="center"/>
              <w:rPr>
                <w:color w:val="000000"/>
                <w:szCs w:val="24"/>
              </w:rPr>
            </w:pPr>
          </w:p>
        </w:tc>
        <w:tc>
          <w:tcPr>
            <w:tcW w:w="1199" w:type="dxa"/>
            <w:vAlign w:val="bottom"/>
          </w:tcPr>
          <w:p w:rsidR="00307EE7" w:rsidRPr="005855A1" w:rsidRDefault="00307EE7" w:rsidP="00643003">
            <w:pPr>
              <w:tabs>
                <w:tab w:val="left" w:pos="983"/>
              </w:tabs>
              <w:ind w:left="-108"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20-29</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17.2</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21.9</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30-39</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27.6</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26.8</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40-49</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30.1</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28.1</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50-60</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25.1</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23.2</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78" w:type="dxa"/>
            <w:vAlign w:val="bottom"/>
          </w:tcPr>
          <w:p w:rsidR="00307EE7" w:rsidRPr="005855A1" w:rsidRDefault="00307EE7" w:rsidP="0068173B">
            <w:pPr>
              <w:ind w:left="-110" w:right="-108"/>
              <w:jc w:val="center"/>
              <w:rPr>
                <w:color w:val="000000"/>
                <w:szCs w:val="24"/>
              </w:rPr>
            </w:pPr>
          </w:p>
        </w:tc>
        <w:tc>
          <w:tcPr>
            <w:tcW w:w="1199" w:type="dxa"/>
            <w:vAlign w:val="bottom"/>
          </w:tcPr>
          <w:p w:rsidR="00307EE7" w:rsidRPr="005855A1" w:rsidRDefault="00307EE7" w:rsidP="00643003">
            <w:pPr>
              <w:tabs>
                <w:tab w:val="left" w:pos="983"/>
              </w:tabs>
              <w:ind w:left="-108"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SOC 2000 Occupations</w:t>
            </w:r>
          </w:p>
        </w:tc>
        <w:tc>
          <w:tcPr>
            <w:tcW w:w="1078" w:type="dxa"/>
            <w:vAlign w:val="bottom"/>
          </w:tcPr>
          <w:p w:rsidR="00307EE7" w:rsidRPr="005855A1" w:rsidRDefault="00307EE7" w:rsidP="0068173B">
            <w:pPr>
              <w:ind w:left="-110" w:right="-108"/>
              <w:jc w:val="center"/>
              <w:rPr>
                <w:color w:val="000000"/>
                <w:szCs w:val="24"/>
              </w:rPr>
            </w:pPr>
          </w:p>
        </w:tc>
        <w:tc>
          <w:tcPr>
            <w:tcW w:w="1199" w:type="dxa"/>
            <w:vAlign w:val="bottom"/>
          </w:tcPr>
          <w:p w:rsidR="00307EE7" w:rsidRPr="005855A1" w:rsidRDefault="00307EE7" w:rsidP="00643003">
            <w:pPr>
              <w:tabs>
                <w:tab w:val="left" w:pos="983"/>
              </w:tabs>
              <w:ind w:left="-108" w:right="-79"/>
              <w:jc w:val="center"/>
              <w:rPr>
                <w:color w:val="000000"/>
                <w:szCs w:val="24"/>
              </w:rPr>
            </w:pP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Managers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15.4</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16</w:t>
            </w:r>
            <w:r w:rsidR="00643003">
              <w:rPr>
                <w:color w:val="000000"/>
                <w:szCs w:val="24"/>
              </w:rPr>
              <w:t>.0</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Professionals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12.2</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13.9</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Associate Professionals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16.1</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15.2</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Administrative &amp; Secretarial</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12.4</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12.2</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lastRenderedPageBreak/>
              <w:t>Skilled Trades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11.1</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10.7</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Personal Services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8.4</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7.8</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Sales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6.5</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6.6</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Plant &amp; Machine Operatives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7.9</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7.5</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Elementary</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10.0</w:t>
            </w:r>
          </w:p>
        </w:tc>
        <w:tc>
          <w:tcPr>
            <w:tcW w:w="1199" w:type="dxa"/>
            <w:vAlign w:val="bottom"/>
          </w:tcPr>
          <w:p w:rsidR="00307EE7" w:rsidRPr="005855A1" w:rsidRDefault="00307EE7" w:rsidP="00643003">
            <w:pPr>
              <w:tabs>
                <w:tab w:val="left" w:pos="983"/>
              </w:tabs>
              <w:ind w:left="-108" w:right="-79"/>
              <w:jc w:val="center"/>
              <w:rPr>
                <w:color w:val="000000"/>
                <w:szCs w:val="24"/>
              </w:rPr>
            </w:pPr>
            <w:r w:rsidRPr="005855A1">
              <w:rPr>
                <w:color w:val="000000"/>
                <w:szCs w:val="24"/>
              </w:rPr>
              <w:t>10.3</w:t>
            </w:r>
          </w:p>
        </w:tc>
      </w:tr>
    </w:tbl>
    <w:p w:rsidR="00307EE7" w:rsidRPr="005855A1" w:rsidRDefault="00307EE7" w:rsidP="00470744">
      <w:pPr>
        <w:jc w:val="both"/>
        <w:rPr>
          <w:szCs w:val="24"/>
        </w:rPr>
      </w:pPr>
    </w:p>
    <w:p w:rsidR="00307EE7" w:rsidRPr="005855A1" w:rsidRDefault="00307EE7" w:rsidP="00470744">
      <w:pPr>
        <w:pStyle w:val="ListParagraph"/>
        <w:numPr>
          <w:ilvl w:val="0"/>
          <w:numId w:val="8"/>
        </w:numPr>
        <w:spacing w:after="0"/>
        <w:ind w:left="360" w:right="389"/>
        <w:jc w:val="both"/>
        <w:rPr>
          <w:rFonts w:ascii="Times New Roman" w:hAnsi="Times New Roman"/>
          <w:i/>
          <w:sz w:val="24"/>
          <w:szCs w:val="24"/>
        </w:rPr>
      </w:pPr>
      <w:r w:rsidRPr="005855A1">
        <w:rPr>
          <w:rFonts w:ascii="Times New Roman" w:hAnsi="Times New Roman"/>
          <w:i/>
          <w:sz w:val="24"/>
          <w:szCs w:val="24"/>
        </w:rPr>
        <w:t>20-65 Year Olds, UK</w:t>
      </w:r>
    </w:p>
    <w:tbl>
      <w:tblPr>
        <w:tblW w:w="57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1078"/>
        <w:gridCol w:w="1199"/>
      </w:tblGrid>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Sex</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SS06</w:t>
            </w:r>
          </w:p>
        </w:tc>
        <w:tc>
          <w:tcPr>
            <w:tcW w:w="1199" w:type="dxa"/>
            <w:vAlign w:val="bottom"/>
          </w:tcPr>
          <w:p w:rsidR="00307EE7" w:rsidRPr="005855A1" w:rsidRDefault="00307EE7" w:rsidP="0068173B">
            <w:pPr>
              <w:ind w:left="-139" w:right="-79"/>
              <w:jc w:val="center"/>
              <w:rPr>
                <w:color w:val="000000"/>
                <w:szCs w:val="24"/>
              </w:rPr>
            </w:pPr>
            <w:r w:rsidRPr="005855A1">
              <w:rPr>
                <w:color w:val="000000"/>
                <w:szCs w:val="24"/>
              </w:rPr>
              <w:t>LFS Quarter 2, 2006</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Male</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49.5</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54.0</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Female</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50.5</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46.0</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78" w:type="dxa"/>
            <w:vAlign w:val="bottom"/>
          </w:tcPr>
          <w:p w:rsidR="00307EE7" w:rsidRPr="005855A1" w:rsidRDefault="00307EE7" w:rsidP="0068173B">
            <w:pPr>
              <w:ind w:left="-110" w:right="-108"/>
              <w:jc w:val="center"/>
              <w:rPr>
                <w:color w:val="000000"/>
                <w:szCs w:val="24"/>
              </w:rPr>
            </w:pPr>
          </w:p>
        </w:tc>
        <w:tc>
          <w:tcPr>
            <w:tcW w:w="1199" w:type="dxa"/>
            <w:vAlign w:val="bottom"/>
          </w:tcPr>
          <w:p w:rsidR="00307EE7" w:rsidRPr="005855A1" w:rsidRDefault="00307EE7" w:rsidP="0068173B">
            <w:pPr>
              <w:ind w:left="-110"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Age</w:t>
            </w:r>
          </w:p>
        </w:tc>
        <w:tc>
          <w:tcPr>
            <w:tcW w:w="1078" w:type="dxa"/>
            <w:vAlign w:val="bottom"/>
          </w:tcPr>
          <w:p w:rsidR="00307EE7" w:rsidRPr="005855A1" w:rsidRDefault="00307EE7" w:rsidP="0068173B">
            <w:pPr>
              <w:ind w:left="-110" w:right="-108"/>
              <w:jc w:val="center"/>
              <w:rPr>
                <w:color w:val="000000"/>
                <w:szCs w:val="24"/>
              </w:rPr>
            </w:pPr>
          </w:p>
        </w:tc>
        <w:tc>
          <w:tcPr>
            <w:tcW w:w="1199" w:type="dxa"/>
            <w:vAlign w:val="bottom"/>
          </w:tcPr>
          <w:p w:rsidR="00307EE7" w:rsidRPr="005855A1" w:rsidRDefault="00307EE7" w:rsidP="0068173B">
            <w:pPr>
              <w:ind w:left="-110"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20-29</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16.6</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21.1</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30-39</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26.5</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25.7</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40-49</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28.9</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26.9</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50-60</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24.0</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22.1</w:t>
            </w:r>
          </w:p>
        </w:tc>
      </w:tr>
      <w:tr w:rsidR="00307EE7" w:rsidRPr="005855A1" w:rsidTr="0068173B">
        <w:trPr>
          <w:trHeight w:val="300"/>
        </w:trPr>
        <w:tc>
          <w:tcPr>
            <w:tcW w:w="3520" w:type="dxa"/>
            <w:shd w:val="clear" w:color="auto" w:fill="auto"/>
            <w:noWrap/>
            <w:vAlign w:val="bottom"/>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61-65</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4.0</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4.2</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78" w:type="dxa"/>
            <w:vAlign w:val="bottom"/>
          </w:tcPr>
          <w:p w:rsidR="00307EE7" w:rsidRPr="005855A1" w:rsidRDefault="00307EE7" w:rsidP="0068173B">
            <w:pPr>
              <w:ind w:left="-110" w:right="-108"/>
              <w:jc w:val="center"/>
              <w:rPr>
                <w:color w:val="000000"/>
                <w:szCs w:val="24"/>
              </w:rPr>
            </w:pPr>
          </w:p>
        </w:tc>
        <w:tc>
          <w:tcPr>
            <w:tcW w:w="1199" w:type="dxa"/>
            <w:vAlign w:val="bottom"/>
          </w:tcPr>
          <w:p w:rsidR="00307EE7" w:rsidRPr="005855A1" w:rsidRDefault="00307EE7" w:rsidP="0068173B">
            <w:pPr>
              <w:ind w:left="-110"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SOC 2000 Occupations</w:t>
            </w:r>
          </w:p>
        </w:tc>
        <w:tc>
          <w:tcPr>
            <w:tcW w:w="1078" w:type="dxa"/>
            <w:vAlign w:val="bottom"/>
          </w:tcPr>
          <w:p w:rsidR="00307EE7" w:rsidRPr="005855A1" w:rsidRDefault="00307EE7" w:rsidP="0068173B">
            <w:pPr>
              <w:ind w:left="-110" w:right="-108"/>
              <w:jc w:val="center"/>
              <w:rPr>
                <w:color w:val="000000"/>
                <w:szCs w:val="24"/>
              </w:rPr>
            </w:pPr>
          </w:p>
        </w:tc>
        <w:tc>
          <w:tcPr>
            <w:tcW w:w="1199" w:type="dxa"/>
            <w:vAlign w:val="bottom"/>
          </w:tcPr>
          <w:p w:rsidR="00307EE7" w:rsidRPr="005855A1" w:rsidRDefault="00307EE7" w:rsidP="0068173B">
            <w:pPr>
              <w:ind w:left="-110" w:right="-79"/>
              <w:jc w:val="center"/>
              <w:rPr>
                <w:color w:val="000000"/>
                <w:szCs w:val="24"/>
              </w:rPr>
            </w:pP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Managers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15.3</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15.8</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Professionals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12.3</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13.7</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Associate Professionals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15.8</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15</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Administrative &amp; Secretarial</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12.5</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12.2</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Skilled Trades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11.1</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10.9</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Personal Services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8.4</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7.8</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Sales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6.4</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6.5</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Plant &amp; Machine Operatives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8.1</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7.7</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Elementary</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10.1</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10.4</w:t>
            </w:r>
          </w:p>
        </w:tc>
      </w:tr>
    </w:tbl>
    <w:p w:rsidR="00307EE7" w:rsidRPr="005855A1" w:rsidRDefault="00307EE7" w:rsidP="00470744">
      <w:pPr>
        <w:jc w:val="both"/>
        <w:rPr>
          <w:szCs w:val="24"/>
        </w:rPr>
      </w:pPr>
    </w:p>
    <w:p w:rsidR="00307EE7" w:rsidRPr="005855A1" w:rsidRDefault="00307EE7" w:rsidP="00470744">
      <w:pPr>
        <w:pStyle w:val="ListParagraph"/>
        <w:numPr>
          <w:ilvl w:val="0"/>
          <w:numId w:val="8"/>
        </w:numPr>
        <w:spacing w:after="0"/>
        <w:ind w:left="360" w:right="389"/>
        <w:jc w:val="both"/>
        <w:rPr>
          <w:rFonts w:ascii="Times New Roman" w:hAnsi="Times New Roman"/>
          <w:i/>
          <w:sz w:val="24"/>
          <w:szCs w:val="24"/>
        </w:rPr>
      </w:pPr>
      <w:r w:rsidRPr="005855A1">
        <w:rPr>
          <w:rFonts w:ascii="Times New Roman" w:hAnsi="Times New Roman"/>
          <w:i/>
          <w:sz w:val="24"/>
          <w:szCs w:val="24"/>
        </w:rPr>
        <w:t>20-60 Year Olds, UK</w:t>
      </w:r>
    </w:p>
    <w:tbl>
      <w:tblPr>
        <w:tblW w:w="57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1078"/>
        <w:gridCol w:w="1199"/>
      </w:tblGrid>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Sex</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SS06</w:t>
            </w:r>
          </w:p>
        </w:tc>
        <w:tc>
          <w:tcPr>
            <w:tcW w:w="1199" w:type="dxa"/>
            <w:vAlign w:val="bottom"/>
          </w:tcPr>
          <w:p w:rsidR="00307EE7" w:rsidRPr="005855A1" w:rsidRDefault="00307EE7" w:rsidP="0068173B">
            <w:pPr>
              <w:ind w:left="-139" w:right="-79"/>
              <w:jc w:val="center"/>
              <w:rPr>
                <w:color w:val="000000"/>
                <w:szCs w:val="24"/>
              </w:rPr>
            </w:pPr>
            <w:r w:rsidRPr="005855A1">
              <w:rPr>
                <w:color w:val="000000"/>
                <w:szCs w:val="24"/>
              </w:rPr>
              <w:t>LFS Quarter 2, 2006</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Male</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49.0</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53.6</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Female</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51.0</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46.4</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78" w:type="dxa"/>
            <w:vAlign w:val="bottom"/>
          </w:tcPr>
          <w:p w:rsidR="00307EE7" w:rsidRPr="005855A1" w:rsidRDefault="00307EE7" w:rsidP="0068173B">
            <w:pPr>
              <w:ind w:left="-110" w:right="-108"/>
              <w:jc w:val="center"/>
              <w:rPr>
                <w:color w:val="000000"/>
                <w:szCs w:val="24"/>
              </w:rPr>
            </w:pPr>
          </w:p>
        </w:tc>
        <w:tc>
          <w:tcPr>
            <w:tcW w:w="1199" w:type="dxa"/>
            <w:vAlign w:val="bottom"/>
          </w:tcPr>
          <w:p w:rsidR="00307EE7" w:rsidRPr="005855A1" w:rsidRDefault="00307EE7" w:rsidP="0068173B">
            <w:pPr>
              <w:ind w:left="-110"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Age</w:t>
            </w:r>
          </w:p>
        </w:tc>
        <w:tc>
          <w:tcPr>
            <w:tcW w:w="1078" w:type="dxa"/>
            <w:vAlign w:val="bottom"/>
          </w:tcPr>
          <w:p w:rsidR="00307EE7" w:rsidRPr="005855A1" w:rsidRDefault="00307EE7" w:rsidP="0068173B">
            <w:pPr>
              <w:ind w:left="-110" w:right="-108"/>
              <w:jc w:val="center"/>
              <w:rPr>
                <w:color w:val="000000"/>
                <w:szCs w:val="24"/>
              </w:rPr>
            </w:pPr>
          </w:p>
        </w:tc>
        <w:tc>
          <w:tcPr>
            <w:tcW w:w="1199" w:type="dxa"/>
            <w:vAlign w:val="bottom"/>
          </w:tcPr>
          <w:p w:rsidR="00307EE7" w:rsidRPr="005855A1" w:rsidRDefault="00307EE7" w:rsidP="0068173B">
            <w:pPr>
              <w:ind w:left="-110"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20-29</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17.3</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22.0</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30-39</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27.6</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26.8</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40-49</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30.1</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28.1</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50-60</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25.0</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23.1</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78" w:type="dxa"/>
            <w:vAlign w:val="bottom"/>
          </w:tcPr>
          <w:p w:rsidR="00307EE7" w:rsidRPr="005855A1" w:rsidRDefault="00307EE7" w:rsidP="0068173B">
            <w:pPr>
              <w:ind w:left="-110" w:right="-108"/>
              <w:jc w:val="center"/>
              <w:rPr>
                <w:color w:val="000000"/>
                <w:szCs w:val="24"/>
              </w:rPr>
            </w:pPr>
          </w:p>
        </w:tc>
        <w:tc>
          <w:tcPr>
            <w:tcW w:w="1199" w:type="dxa"/>
            <w:vAlign w:val="bottom"/>
          </w:tcPr>
          <w:p w:rsidR="00307EE7" w:rsidRPr="005855A1" w:rsidRDefault="00307EE7" w:rsidP="0068173B">
            <w:pPr>
              <w:ind w:left="-110" w:right="-79"/>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SOC 2000 Occupations</w:t>
            </w:r>
          </w:p>
        </w:tc>
        <w:tc>
          <w:tcPr>
            <w:tcW w:w="1078" w:type="dxa"/>
            <w:vAlign w:val="bottom"/>
          </w:tcPr>
          <w:p w:rsidR="00307EE7" w:rsidRPr="005855A1" w:rsidRDefault="00307EE7" w:rsidP="0068173B">
            <w:pPr>
              <w:ind w:left="-110" w:right="-108"/>
              <w:jc w:val="center"/>
              <w:rPr>
                <w:color w:val="000000"/>
                <w:szCs w:val="24"/>
              </w:rPr>
            </w:pPr>
          </w:p>
        </w:tc>
        <w:tc>
          <w:tcPr>
            <w:tcW w:w="1199" w:type="dxa"/>
            <w:vAlign w:val="bottom"/>
          </w:tcPr>
          <w:p w:rsidR="00307EE7" w:rsidRPr="005855A1" w:rsidRDefault="00307EE7" w:rsidP="0068173B">
            <w:pPr>
              <w:ind w:left="-110" w:right="-79"/>
              <w:jc w:val="center"/>
              <w:rPr>
                <w:color w:val="000000"/>
                <w:szCs w:val="24"/>
              </w:rPr>
            </w:pP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lastRenderedPageBreak/>
              <w:t>Managers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15.4</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15.8</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Professionals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12.3</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13.8</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Associate Professionals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16.0</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15.1</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Administrative &amp; Secretarial</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12.4</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12.2</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Skilled Trades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11.1</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10.8</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Personal Services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8.5</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7.8</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Sales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6.5</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6.6</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Plant &amp; Machine Operatives</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7.9</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7.6</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Elementary</w:t>
            </w:r>
          </w:p>
        </w:tc>
        <w:tc>
          <w:tcPr>
            <w:tcW w:w="1078" w:type="dxa"/>
            <w:vAlign w:val="bottom"/>
          </w:tcPr>
          <w:p w:rsidR="00307EE7" w:rsidRPr="005855A1" w:rsidRDefault="00307EE7" w:rsidP="0068173B">
            <w:pPr>
              <w:ind w:left="-110" w:right="-108"/>
              <w:jc w:val="center"/>
              <w:rPr>
                <w:color w:val="000000"/>
                <w:szCs w:val="24"/>
              </w:rPr>
            </w:pPr>
            <w:r w:rsidRPr="005855A1">
              <w:rPr>
                <w:color w:val="000000"/>
                <w:szCs w:val="24"/>
              </w:rPr>
              <w:t>10.0</w:t>
            </w:r>
          </w:p>
        </w:tc>
        <w:tc>
          <w:tcPr>
            <w:tcW w:w="1199" w:type="dxa"/>
            <w:vAlign w:val="bottom"/>
          </w:tcPr>
          <w:p w:rsidR="00307EE7" w:rsidRPr="005855A1" w:rsidRDefault="00307EE7" w:rsidP="0068173B">
            <w:pPr>
              <w:ind w:left="-110" w:right="-79"/>
              <w:jc w:val="center"/>
              <w:rPr>
                <w:color w:val="000000"/>
                <w:szCs w:val="24"/>
              </w:rPr>
            </w:pPr>
            <w:r w:rsidRPr="005855A1">
              <w:rPr>
                <w:color w:val="000000"/>
                <w:szCs w:val="24"/>
              </w:rPr>
              <w:t>10.2</w:t>
            </w:r>
          </w:p>
        </w:tc>
      </w:tr>
    </w:tbl>
    <w:p w:rsidR="00BA3C18" w:rsidRPr="00BA3C18" w:rsidRDefault="00BA3C18" w:rsidP="00BA3C18">
      <w:pPr>
        <w:jc w:val="both"/>
        <w:rPr>
          <w:i/>
          <w:szCs w:val="24"/>
        </w:rPr>
      </w:pPr>
      <w:r w:rsidRPr="00BA3C18">
        <w:rPr>
          <w:i/>
          <w:szCs w:val="24"/>
        </w:rPr>
        <w:t>Note:</w:t>
      </w:r>
    </w:p>
    <w:p w:rsidR="00307EE7" w:rsidRPr="005855A1" w:rsidRDefault="00BA3C18" w:rsidP="00470744">
      <w:pPr>
        <w:jc w:val="both"/>
        <w:rPr>
          <w:szCs w:val="24"/>
        </w:rPr>
      </w:pPr>
      <w:r>
        <w:rPr>
          <w:szCs w:val="24"/>
        </w:rPr>
        <w:t>The survey is weighted by the design weight, while the LFS by the representativeness weight supplied with the data.</w:t>
      </w:r>
      <w:r w:rsidR="00307EE7" w:rsidRPr="005855A1">
        <w:rPr>
          <w:szCs w:val="24"/>
        </w:rPr>
        <w:br w:type="page"/>
      </w:r>
    </w:p>
    <w:p w:rsidR="00307EE7" w:rsidRPr="005855A1" w:rsidRDefault="00FC1B76" w:rsidP="0068173B">
      <w:pPr>
        <w:jc w:val="center"/>
        <w:rPr>
          <w:b/>
          <w:szCs w:val="24"/>
        </w:rPr>
      </w:pPr>
      <w:r>
        <w:rPr>
          <w:b/>
          <w:szCs w:val="24"/>
        </w:rPr>
        <w:lastRenderedPageBreak/>
        <w:t>Table A</w:t>
      </w:r>
      <w:r w:rsidR="004E4624">
        <w:rPr>
          <w:b/>
          <w:szCs w:val="24"/>
        </w:rPr>
        <w:t>3</w:t>
      </w:r>
    </w:p>
    <w:p w:rsidR="00307EE7" w:rsidRPr="005855A1" w:rsidRDefault="00307EE7" w:rsidP="0068173B">
      <w:pPr>
        <w:jc w:val="center"/>
        <w:rPr>
          <w:b/>
          <w:szCs w:val="24"/>
        </w:rPr>
      </w:pPr>
      <w:r w:rsidRPr="005855A1">
        <w:rPr>
          <w:b/>
          <w:szCs w:val="24"/>
        </w:rPr>
        <w:t>Representativeness of the Skills Survey 2001</w:t>
      </w:r>
    </w:p>
    <w:p w:rsidR="00307EE7" w:rsidRPr="005855A1" w:rsidRDefault="00307EE7" w:rsidP="00470744">
      <w:pPr>
        <w:jc w:val="both"/>
        <w:rPr>
          <w:b/>
          <w:szCs w:val="24"/>
        </w:rPr>
      </w:pPr>
    </w:p>
    <w:tbl>
      <w:tblPr>
        <w:tblW w:w="567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988"/>
        <w:gridCol w:w="1167"/>
      </w:tblGrid>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Sex</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SS01</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LFS Spring, 2001</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Male</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51.1</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53.8</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Female</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48.9</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46.2</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988" w:type="dxa"/>
            <w:vAlign w:val="bottom"/>
          </w:tcPr>
          <w:p w:rsidR="00307EE7" w:rsidRPr="005855A1" w:rsidRDefault="00307EE7" w:rsidP="0068173B">
            <w:pPr>
              <w:ind w:left="-110" w:right="-94"/>
              <w:jc w:val="center"/>
              <w:rPr>
                <w:color w:val="000000"/>
                <w:szCs w:val="24"/>
              </w:rPr>
            </w:pPr>
          </w:p>
        </w:tc>
        <w:tc>
          <w:tcPr>
            <w:tcW w:w="1167" w:type="dxa"/>
            <w:vAlign w:val="bottom"/>
          </w:tcPr>
          <w:p w:rsidR="00307EE7" w:rsidRPr="005855A1" w:rsidRDefault="00307EE7" w:rsidP="00643003">
            <w:pPr>
              <w:ind w:left="-108" w:right="-111"/>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Age</w:t>
            </w:r>
          </w:p>
        </w:tc>
        <w:tc>
          <w:tcPr>
            <w:tcW w:w="988" w:type="dxa"/>
            <w:vAlign w:val="bottom"/>
          </w:tcPr>
          <w:p w:rsidR="00307EE7" w:rsidRPr="005855A1" w:rsidRDefault="00307EE7" w:rsidP="0068173B">
            <w:pPr>
              <w:ind w:left="-110" w:right="-94"/>
              <w:jc w:val="center"/>
              <w:rPr>
                <w:color w:val="000000"/>
                <w:szCs w:val="24"/>
              </w:rPr>
            </w:pPr>
          </w:p>
        </w:tc>
        <w:tc>
          <w:tcPr>
            <w:tcW w:w="1167" w:type="dxa"/>
            <w:vAlign w:val="bottom"/>
          </w:tcPr>
          <w:p w:rsidR="00307EE7" w:rsidRPr="005855A1" w:rsidRDefault="00307EE7" w:rsidP="00643003">
            <w:pPr>
              <w:ind w:left="-108" w:right="-111"/>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20-29</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20.2</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22.1</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30-39</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28.7</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29.6</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40-49</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28.3</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25.9</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50-60</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22.8</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22.3</w:t>
            </w: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988" w:type="dxa"/>
            <w:vAlign w:val="bottom"/>
          </w:tcPr>
          <w:p w:rsidR="00307EE7" w:rsidRPr="005855A1" w:rsidRDefault="00307EE7" w:rsidP="0068173B">
            <w:pPr>
              <w:ind w:left="-110" w:right="-94"/>
              <w:jc w:val="center"/>
              <w:rPr>
                <w:color w:val="000000"/>
                <w:szCs w:val="24"/>
              </w:rPr>
            </w:pPr>
          </w:p>
        </w:tc>
        <w:tc>
          <w:tcPr>
            <w:tcW w:w="1167" w:type="dxa"/>
            <w:vAlign w:val="bottom"/>
          </w:tcPr>
          <w:p w:rsidR="00307EE7" w:rsidRPr="005855A1" w:rsidRDefault="00307EE7" w:rsidP="00643003">
            <w:pPr>
              <w:ind w:left="-108" w:right="-111"/>
              <w:jc w:val="center"/>
              <w:rPr>
                <w:color w:val="000000"/>
                <w:szCs w:val="24"/>
              </w:rPr>
            </w:pPr>
          </w:p>
        </w:tc>
      </w:tr>
      <w:tr w:rsidR="00307EE7" w:rsidRPr="005855A1" w:rsidTr="0068173B">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SOC 2000 Occupations</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13.6</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14.5</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Managers</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12.8</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12.6</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Professionals</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15.5</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14.2</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Associate Professionals</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14.8</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13.8</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Administrative &amp; Secretarial</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11.1</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11.6</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Skilled Trades</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6.9</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7.2</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Personal Services</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6.8</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6.7</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Sales</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8.7</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8.6</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Plant &amp; Machine Operatives</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10.0</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10.8</w:t>
            </w:r>
          </w:p>
        </w:tc>
      </w:tr>
      <w:tr w:rsidR="00307EE7" w:rsidRPr="005855A1" w:rsidTr="0068173B">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Elementary</w:t>
            </w:r>
          </w:p>
        </w:tc>
        <w:tc>
          <w:tcPr>
            <w:tcW w:w="988" w:type="dxa"/>
            <w:vAlign w:val="bottom"/>
          </w:tcPr>
          <w:p w:rsidR="00307EE7" w:rsidRPr="005855A1" w:rsidRDefault="00307EE7" w:rsidP="0068173B">
            <w:pPr>
              <w:ind w:left="-110" w:right="-94"/>
              <w:jc w:val="center"/>
              <w:rPr>
                <w:color w:val="000000"/>
                <w:szCs w:val="24"/>
              </w:rPr>
            </w:pPr>
            <w:r w:rsidRPr="005855A1">
              <w:rPr>
                <w:color w:val="000000"/>
                <w:szCs w:val="24"/>
              </w:rPr>
              <w:t>13.6</w:t>
            </w:r>
          </w:p>
        </w:tc>
        <w:tc>
          <w:tcPr>
            <w:tcW w:w="1167" w:type="dxa"/>
            <w:vAlign w:val="bottom"/>
          </w:tcPr>
          <w:p w:rsidR="00307EE7" w:rsidRPr="005855A1" w:rsidRDefault="00307EE7" w:rsidP="00643003">
            <w:pPr>
              <w:ind w:left="-108" w:right="-111"/>
              <w:jc w:val="center"/>
              <w:rPr>
                <w:color w:val="000000"/>
                <w:szCs w:val="24"/>
              </w:rPr>
            </w:pPr>
            <w:r w:rsidRPr="005855A1">
              <w:rPr>
                <w:color w:val="000000"/>
                <w:szCs w:val="24"/>
              </w:rPr>
              <w:t>14.5</w:t>
            </w:r>
          </w:p>
        </w:tc>
      </w:tr>
    </w:tbl>
    <w:p w:rsidR="00BA3C18" w:rsidRPr="00BA3C18" w:rsidRDefault="00BA3C18" w:rsidP="00BA3C18">
      <w:pPr>
        <w:jc w:val="both"/>
        <w:rPr>
          <w:i/>
          <w:szCs w:val="24"/>
        </w:rPr>
      </w:pPr>
      <w:r w:rsidRPr="00BA3C18">
        <w:rPr>
          <w:i/>
          <w:szCs w:val="24"/>
        </w:rPr>
        <w:t>Note:</w:t>
      </w:r>
    </w:p>
    <w:p w:rsidR="00307EE7" w:rsidRPr="005855A1" w:rsidRDefault="00BA3C18" w:rsidP="00470744">
      <w:pPr>
        <w:jc w:val="both"/>
        <w:rPr>
          <w:szCs w:val="24"/>
        </w:rPr>
      </w:pPr>
      <w:r>
        <w:rPr>
          <w:szCs w:val="24"/>
        </w:rPr>
        <w:t>The survey is weighted by the design weight, while the LFS by the representativeness weight supplied with the data.</w:t>
      </w:r>
    </w:p>
    <w:p w:rsidR="00307EE7" w:rsidRPr="005855A1" w:rsidRDefault="00307EE7" w:rsidP="00470744">
      <w:pPr>
        <w:jc w:val="both"/>
        <w:rPr>
          <w:b/>
          <w:szCs w:val="24"/>
        </w:rPr>
      </w:pPr>
    </w:p>
    <w:p w:rsidR="00307EE7" w:rsidRPr="005855A1" w:rsidRDefault="00307EE7" w:rsidP="00470744">
      <w:pPr>
        <w:jc w:val="both"/>
        <w:rPr>
          <w:b/>
          <w:szCs w:val="24"/>
        </w:rPr>
      </w:pPr>
    </w:p>
    <w:p w:rsidR="00307EE7" w:rsidRPr="005855A1" w:rsidRDefault="00307EE7" w:rsidP="00470744">
      <w:pPr>
        <w:jc w:val="both"/>
        <w:rPr>
          <w:b/>
          <w:szCs w:val="24"/>
        </w:rPr>
      </w:pPr>
      <w:r w:rsidRPr="005855A1">
        <w:rPr>
          <w:b/>
          <w:szCs w:val="24"/>
        </w:rPr>
        <w:br w:type="page"/>
      </w:r>
    </w:p>
    <w:p w:rsidR="00307EE7" w:rsidRPr="005855A1" w:rsidRDefault="00FC1B76" w:rsidP="0068173B">
      <w:pPr>
        <w:jc w:val="center"/>
        <w:rPr>
          <w:b/>
          <w:szCs w:val="24"/>
        </w:rPr>
      </w:pPr>
      <w:r>
        <w:rPr>
          <w:b/>
          <w:szCs w:val="24"/>
        </w:rPr>
        <w:lastRenderedPageBreak/>
        <w:t>Table A</w:t>
      </w:r>
      <w:r w:rsidR="004E4624">
        <w:rPr>
          <w:b/>
          <w:szCs w:val="24"/>
        </w:rPr>
        <w:t>4</w:t>
      </w:r>
    </w:p>
    <w:p w:rsidR="00307EE7" w:rsidRPr="005855A1" w:rsidRDefault="00307EE7" w:rsidP="0068173B">
      <w:pPr>
        <w:jc w:val="center"/>
        <w:rPr>
          <w:b/>
          <w:szCs w:val="24"/>
        </w:rPr>
      </w:pPr>
      <w:r w:rsidRPr="005855A1">
        <w:rPr>
          <w:b/>
          <w:szCs w:val="24"/>
        </w:rPr>
        <w:t>Representativeness of Working in Britain 2000</w:t>
      </w:r>
    </w:p>
    <w:p w:rsidR="00307EE7" w:rsidRPr="005855A1" w:rsidRDefault="00307EE7" w:rsidP="00470744">
      <w:pPr>
        <w:jc w:val="both"/>
        <w:rPr>
          <w:szCs w:val="24"/>
        </w:rPr>
      </w:pPr>
    </w:p>
    <w:tbl>
      <w:tblPr>
        <w:tblW w:w="603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1258"/>
        <w:gridCol w:w="1260"/>
      </w:tblGrid>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Sex</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WIB2000</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LFS Spring, 2000</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Male</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50.0</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54.1</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Female</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50.1</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45.9</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258" w:type="dxa"/>
            <w:vAlign w:val="bottom"/>
          </w:tcPr>
          <w:p w:rsidR="00307EE7" w:rsidRPr="005855A1" w:rsidRDefault="00307EE7" w:rsidP="0068173B">
            <w:pPr>
              <w:ind w:left="-110" w:right="-104"/>
              <w:jc w:val="center"/>
              <w:rPr>
                <w:color w:val="000000"/>
                <w:szCs w:val="24"/>
              </w:rPr>
            </w:pPr>
          </w:p>
        </w:tc>
        <w:tc>
          <w:tcPr>
            <w:tcW w:w="1260" w:type="dxa"/>
            <w:vAlign w:val="bottom"/>
          </w:tcPr>
          <w:p w:rsidR="00307EE7" w:rsidRPr="005855A1" w:rsidRDefault="00307EE7" w:rsidP="00643003">
            <w:pPr>
              <w:ind w:left="-108" w:right="-111"/>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Age</w:t>
            </w:r>
          </w:p>
        </w:tc>
        <w:tc>
          <w:tcPr>
            <w:tcW w:w="1258" w:type="dxa"/>
            <w:vAlign w:val="bottom"/>
          </w:tcPr>
          <w:p w:rsidR="00307EE7" w:rsidRPr="005855A1" w:rsidRDefault="00307EE7" w:rsidP="0068173B">
            <w:pPr>
              <w:ind w:left="-110" w:right="-104"/>
              <w:jc w:val="center"/>
              <w:rPr>
                <w:color w:val="000000"/>
                <w:szCs w:val="24"/>
              </w:rPr>
            </w:pPr>
          </w:p>
        </w:tc>
        <w:tc>
          <w:tcPr>
            <w:tcW w:w="1260" w:type="dxa"/>
            <w:vAlign w:val="bottom"/>
          </w:tcPr>
          <w:p w:rsidR="00307EE7" w:rsidRPr="005855A1" w:rsidRDefault="00307EE7" w:rsidP="00643003">
            <w:pPr>
              <w:ind w:left="-108" w:right="-111"/>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20-29</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23.1</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22.3</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30-39</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29.1</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29.9</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40-49</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26.6</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26.0</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50-60</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21.1</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21.8</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258" w:type="dxa"/>
            <w:vAlign w:val="bottom"/>
          </w:tcPr>
          <w:p w:rsidR="00307EE7" w:rsidRPr="005855A1" w:rsidRDefault="00307EE7" w:rsidP="0068173B">
            <w:pPr>
              <w:ind w:left="-110" w:right="-104"/>
              <w:jc w:val="center"/>
              <w:rPr>
                <w:color w:val="000000"/>
                <w:szCs w:val="24"/>
              </w:rPr>
            </w:pPr>
          </w:p>
        </w:tc>
        <w:tc>
          <w:tcPr>
            <w:tcW w:w="1260" w:type="dxa"/>
            <w:vAlign w:val="bottom"/>
          </w:tcPr>
          <w:p w:rsidR="00307EE7" w:rsidRPr="005855A1" w:rsidRDefault="00307EE7" w:rsidP="00643003">
            <w:pPr>
              <w:ind w:left="-108" w:right="-111"/>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SOC 2000 Occupations</w:t>
            </w:r>
          </w:p>
        </w:tc>
        <w:tc>
          <w:tcPr>
            <w:tcW w:w="1258" w:type="dxa"/>
            <w:vAlign w:val="bottom"/>
          </w:tcPr>
          <w:p w:rsidR="00307EE7" w:rsidRPr="005855A1" w:rsidRDefault="00307EE7" w:rsidP="0068173B">
            <w:pPr>
              <w:ind w:left="-110" w:right="-104"/>
              <w:jc w:val="center"/>
              <w:rPr>
                <w:color w:val="000000"/>
                <w:szCs w:val="24"/>
              </w:rPr>
            </w:pPr>
          </w:p>
        </w:tc>
        <w:tc>
          <w:tcPr>
            <w:tcW w:w="1260" w:type="dxa"/>
            <w:vAlign w:val="bottom"/>
          </w:tcPr>
          <w:p w:rsidR="00307EE7" w:rsidRPr="005855A1" w:rsidRDefault="00307EE7" w:rsidP="00643003">
            <w:pPr>
              <w:ind w:left="-108" w:right="-111"/>
              <w:jc w:val="center"/>
              <w:rPr>
                <w:color w:val="000000"/>
                <w:szCs w:val="24"/>
              </w:rPr>
            </w:pP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Managers</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14.9</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17.1</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Professionals</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11.3</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11.7</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Associate Professionals</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10.6</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11.2</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Administrative &amp; Secretarial</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15.4</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15</w:t>
            </w:r>
            <w:r w:rsidR="00643003">
              <w:rPr>
                <w:color w:val="000000"/>
                <w:szCs w:val="24"/>
              </w:rPr>
              <w:t>.0</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Skilled Trades</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13.0</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11.6</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Personal Services</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11.5</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10.7</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Sales</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7.7</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7.2</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Plant &amp; Machine Operatives</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8.8</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8.9</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Elementary</w:t>
            </w:r>
          </w:p>
        </w:tc>
        <w:tc>
          <w:tcPr>
            <w:tcW w:w="1258" w:type="dxa"/>
            <w:vAlign w:val="bottom"/>
          </w:tcPr>
          <w:p w:rsidR="00307EE7" w:rsidRPr="005855A1" w:rsidRDefault="00307EE7" w:rsidP="0068173B">
            <w:pPr>
              <w:ind w:left="-110" w:right="-104"/>
              <w:jc w:val="center"/>
              <w:rPr>
                <w:color w:val="000000"/>
                <w:szCs w:val="24"/>
              </w:rPr>
            </w:pPr>
            <w:r w:rsidRPr="005855A1">
              <w:rPr>
                <w:color w:val="000000"/>
                <w:szCs w:val="24"/>
              </w:rPr>
              <w:t>6.7</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6.8</w:t>
            </w:r>
          </w:p>
        </w:tc>
      </w:tr>
    </w:tbl>
    <w:p w:rsidR="00BA3C18" w:rsidRPr="00BA3C18" w:rsidRDefault="00BA3C18" w:rsidP="00BA3C18">
      <w:pPr>
        <w:jc w:val="both"/>
        <w:rPr>
          <w:i/>
          <w:szCs w:val="24"/>
        </w:rPr>
      </w:pPr>
      <w:r w:rsidRPr="00BA3C18">
        <w:rPr>
          <w:i/>
          <w:szCs w:val="24"/>
        </w:rPr>
        <w:t>Note:</w:t>
      </w:r>
    </w:p>
    <w:p w:rsidR="00BA3C18" w:rsidRPr="005855A1" w:rsidRDefault="00BA3C18" w:rsidP="00470744">
      <w:pPr>
        <w:jc w:val="both"/>
        <w:rPr>
          <w:szCs w:val="24"/>
        </w:rPr>
      </w:pPr>
      <w:r>
        <w:rPr>
          <w:szCs w:val="24"/>
        </w:rPr>
        <w:t>The survey is weighted by the design weight, while the LFS by the representativeness weight supplied with the data.</w:t>
      </w:r>
    </w:p>
    <w:p w:rsidR="00307EE7" w:rsidRPr="005855A1" w:rsidRDefault="00307EE7" w:rsidP="00470744">
      <w:pPr>
        <w:jc w:val="both"/>
        <w:rPr>
          <w:szCs w:val="24"/>
        </w:rPr>
      </w:pPr>
    </w:p>
    <w:p w:rsidR="00307EE7" w:rsidRPr="005855A1" w:rsidRDefault="00307EE7" w:rsidP="00470744">
      <w:pPr>
        <w:jc w:val="both"/>
        <w:rPr>
          <w:b/>
          <w:szCs w:val="24"/>
        </w:rPr>
      </w:pPr>
    </w:p>
    <w:p w:rsidR="00307EE7" w:rsidRPr="005855A1" w:rsidRDefault="00307EE7" w:rsidP="00470744">
      <w:pPr>
        <w:jc w:val="both"/>
        <w:rPr>
          <w:b/>
          <w:szCs w:val="24"/>
        </w:rPr>
      </w:pPr>
    </w:p>
    <w:p w:rsidR="00307EE7" w:rsidRPr="005855A1" w:rsidRDefault="00307EE7" w:rsidP="00470744">
      <w:pPr>
        <w:jc w:val="both"/>
        <w:rPr>
          <w:b/>
          <w:szCs w:val="24"/>
        </w:rPr>
      </w:pPr>
    </w:p>
    <w:p w:rsidR="00307EE7" w:rsidRPr="005855A1" w:rsidRDefault="00307EE7" w:rsidP="00470744">
      <w:pPr>
        <w:jc w:val="both"/>
        <w:rPr>
          <w:b/>
          <w:szCs w:val="24"/>
        </w:rPr>
      </w:pPr>
      <w:r w:rsidRPr="005855A1">
        <w:rPr>
          <w:b/>
          <w:szCs w:val="24"/>
        </w:rPr>
        <w:br w:type="page"/>
      </w:r>
    </w:p>
    <w:p w:rsidR="00307EE7" w:rsidRPr="005855A1" w:rsidRDefault="00FC1B76" w:rsidP="0068173B">
      <w:pPr>
        <w:jc w:val="center"/>
        <w:rPr>
          <w:b/>
          <w:szCs w:val="24"/>
        </w:rPr>
      </w:pPr>
      <w:r>
        <w:rPr>
          <w:b/>
          <w:szCs w:val="24"/>
        </w:rPr>
        <w:lastRenderedPageBreak/>
        <w:t>Table A</w:t>
      </w:r>
      <w:r w:rsidR="004E4624">
        <w:rPr>
          <w:b/>
          <w:szCs w:val="24"/>
        </w:rPr>
        <w:t>5</w:t>
      </w:r>
    </w:p>
    <w:p w:rsidR="00307EE7" w:rsidRPr="005855A1" w:rsidRDefault="00307EE7" w:rsidP="0068173B">
      <w:pPr>
        <w:jc w:val="center"/>
        <w:rPr>
          <w:b/>
          <w:szCs w:val="24"/>
        </w:rPr>
      </w:pPr>
      <w:r w:rsidRPr="005855A1">
        <w:rPr>
          <w:b/>
          <w:szCs w:val="24"/>
        </w:rPr>
        <w:t>Representativeness of the Skills Survey 1997</w:t>
      </w:r>
    </w:p>
    <w:p w:rsidR="00307EE7" w:rsidRPr="005855A1" w:rsidRDefault="00307EE7" w:rsidP="00470744">
      <w:pPr>
        <w:jc w:val="both"/>
        <w:rPr>
          <w:b/>
          <w:szCs w:val="24"/>
        </w:rPr>
      </w:pPr>
    </w:p>
    <w:tbl>
      <w:tblPr>
        <w:tblW w:w="585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1078"/>
        <w:gridCol w:w="1260"/>
      </w:tblGrid>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Sex</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SS97</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LFS Spring, 1997</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Male</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50.8</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54.3</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Female</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49.2</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45.7</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78" w:type="dxa"/>
            <w:vAlign w:val="bottom"/>
          </w:tcPr>
          <w:p w:rsidR="00307EE7" w:rsidRPr="005855A1" w:rsidRDefault="00307EE7" w:rsidP="0068173B">
            <w:pPr>
              <w:ind w:left="-110" w:right="-94"/>
              <w:jc w:val="center"/>
              <w:rPr>
                <w:color w:val="000000"/>
                <w:szCs w:val="24"/>
              </w:rPr>
            </w:pPr>
          </w:p>
        </w:tc>
        <w:tc>
          <w:tcPr>
            <w:tcW w:w="1260" w:type="dxa"/>
            <w:vAlign w:val="bottom"/>
          </w:tcPr>
          <w:p w:rsidR="00307EE7" w:rsidRPr="005855A1" w:rsidRDefault="00307EE7" w:rsidP="00643003">
            <w:pPr>
              <w:ind w:left="-108" w:right="-111"/>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Age</w:t>
            </w:r>
          </w:p>
        </w:tc>
        <w:tc>
          <w:tcPr>
            <w:tcW w:w="1078" w:type="dxa"/>
            <w:vAlign w:val="bottom"/>
          </w:tcPr>
          <w:p w:rsidR="00307EE7" w:rsidRPr="005855A1" w:rsidRDefault="00307EE7" w:rsidP="0068173B">
            <w:pPr>
              <w:ind w:left="-110" w:right="-94"/>
              <w:jc w:val="center"/>
              <w:rPr>
                <w:color w:val="000000"/>
                <w:szCs w:val="24"/>
              </w:rPr>
            </w:pPr>
          </w:p>
        </w:tc>
        <w:tc>
          <w:tcPr>
            <w:tcW w:w="1260" w:type="dxa"/>
            <w:vAlign w:val="bottom"/>
          </w:tcPr>
          <w:p w:rsidR="00307EE7" w:rsidRPr="005855A1" w:rsidRDefault="00307EE7" w:rsidP="00643003">
            <w:pPr>
              <w:ind w:left="-108" w:right="-111"/>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20-29</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22.6</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24.0</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30-39</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31.4</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29.5</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40-49</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26.9</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26.2</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50-60</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19.1</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20.3</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78" w:type="dxa"/>
            <w:vAlign w:val="bottom"/>
          </w:tcPr>
          <w:p w:rsidR="00307EE7" w:rsidRPr="005855A1" w:rsidRDefault="00307EE7" w:rsidP="0068173B">
            <w:pPr>
              <w:ind w:left="-110" w:right="-94"/>
              <w:jc w:val="center"/>
              <w:rPr>
                <w:color w:val="000000"/>
                <w:szCs w:val="24"/>
              </w:rPr>
            </w:pPr>
          </w:p>
        </w:tc>
        <w:tc>
          <w:tcPr>
            <w:tcW w:w="1260" w:type="dxa"/>
            <w:vAlign w:val="bottom"/>
          </w:tcPr>
          <w:p w:rsidR="00307EE7" w:rsidRPr="005855A1" w:rsidRDefault="00307EE7" w:rsidP="00643003">
            <w:pPr>
              <w:ind w:left="-108" w:right="-111"/>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SOC 1990 Occupations</w:t>
            </w:r>
          </w:p>
        </w:tc>
        <w:tc>
          <w:tcPr>
            <w:tcW w:w="1078" w:type="dxa"/>
            <w:vAlign w:val="bottom"/>
          </w:tcPr>
          <w:p w:rsidR="00307EE7" w:rsidRPr="005855A1" w:rsidRDefault="00307EE7" w:rsidP="0068173B">
            <w:pPr>
              <w:ind w:left="-110" w:right="-94"/>
              <w:jc w:val="center"/>
              <w:rPr>
                <w:color w:val="000000"/>
                <w:szCs w:val="24"/>
              </w:rPr>
            </w:pPr>
          </w:p>
        </w:tc>
        <w:tc>
          <w:tcPr>
            <w:tcW w:w="1260" w:type="dxa"/>
            <w:vAlign w:val="bottom"/>
          </w:tcPr>
          <w:p w:rsidR="00307EE7" w:rsidRPr="005855A1" w:rsidRDefault="00307EE7" w:rsidP="00643003">
            <w:pPr>
              <w:ind w:left="-108" w:right="-111"/>
              <w:jc w:val="center"/>
              <w:rPr>
                <w:color w:val="000000"/>
                <w:szCs w:val="24"/>
              </w:rPr>
            </w:pP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Managers</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14.0</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16.8</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Professionals</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10.3</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10.8</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Associate Professionals</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10.1</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10.9</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Clerical &amp; Secretarial</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17.6</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15.3</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Craft &amp; Related</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12.2</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12.3</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Personal Services</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11.0</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10.3</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Sales</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7.5</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7</w:t>
            </w:r>
            <w:r w:rsidR="00643003">
              <w:rPr>
                <w:color w:val="000000"/>
                <w:szCs w:val="24"/>
              </w:rPr>
              <w:t>.0</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Plant &amp; Machine Operatives</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10.5</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9.4</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Elementary</w:t>
            </w:r>
          </w:p>
        </w:tc>
        <w:tc>
          <w:tcPr>
            <w:tcW w:w="1078" w:type="dxa"/>
            <w:vAlign w:val="bottom"/>
          </w:tcPr>
          <w:p w:rsidR="00307EE7" w:rsidRPr="005855A1" w:rsidRDefault="00307EE7" w:rsidP="0068173B">
            <w:pPr>
              <w:ind w:left="-110" w:right="-94"/>
              <w:jc w:val="center"/>
              <w:rPr>
                <w:color w:val="000000"/>
                <w:szCs w:val="24"/>
              </w:rPr>
            </w:pPr>
            <w:r w:rsidRPr="005855A1">
              <w:rPr>
                <w:color w:val="000000"/>
                <w:szCs w:val="24"/>
              </w:rPr>
              <w:t>6.9</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7.2</w:t>
            </w:r>
          </w:p>
        </w:tc>
      </w:tr>
    </w:tbl>
    <w:p w:rsidR="00BA3C18" w:rsidRPr="00BA3C18" w:rsidRDefault="00BA3C18" w:rsidP="00BA3C18">
      <w:pPr>
        <w:jc w:val="both"/>
        <w:rPr>
          <w:i/>
          <w:szCs w:val="24"/>
        </w:rPr>
      </w:pPr>
      <w:r w:rsidRPr="00BA3C18">
        <w:rPr>
          <w:i/>
          <w:szCs w:val="24"/>
        </w:rPr>
        <w:t>Note:</w:t>
      </w:r>
    </w:p>
    <w:p w:rsidR="00307EE7" w:rsidRPr="005855A1" w:rsidRDefault="00BA3C18" w:rsidP="00470744">
      <w:pPr>
        <w:jc w:val="both"/>
        <w:rPr>
          <w:szCs w:val="24"/>
        </w:rPr>
      </w:pPr>
      <w:r>
        <w:rPr>
          <w:szCs w:val="24"/>
        </w:rPr>
        <w:t>The survey is weighted by the design weight, while the LFS by the representativeness weight supplied with the data.</w:t>
      </w:r>
    </w:p>
    <w:p w:rsidR="00307EE7" w:rsidRPr="005855A1" w:rsidRDefault="00307EE7" w:rsidP="00470744">
      <w:pPr>
        <w:jc w:val="both"/>
        <w:rPr>
          <w:szCs w:val="24"/>
        </w:rPr>
      </w:pPr>
    </w:p>
    <w:p w:rsidR="00307EE7" w:rsidRPr="005855A1" w:rsidRDefault="00307EE7" w:rsidP="00470744">
      <w:pPr>
        <w:jc w:val="both"/>
        <w:rPr>
          <w:b/>
          <w:szCs w:val="24"/>
        </w:rPr>
      </w:pPr>
    </w:p>
    <w:p w:rsidR="00307EE7" w:rsidRPr="005855A1" w:rsidRDefault="00307EE7" w:rsidP="00470744">
      <w:pPr>
        <w:jc w:val="both"/>
        <w:rPr>
          <w:b/>
          <w:szCs w:val="24"/>
        </w:rPr>
      </w:pPr>
    </w:p>
    <w:p w:rsidR="00307EE7" w:rsidRPr="005855A1" w:rsidRDefault="00307EE7" w:rsidP="00470744">
      <w:pPr>
        <w:jc w:val="both"/>
        <w:rPr>
          <w:b/>
          <w:szCs w:val="24"/>
        </w:rPr>
      </w:pPr>
    </w:p>
    <w:p w:rsidR="00307EE7" w:rsidRPr="005855A1" w:rsidRDefault="00307EE7" w:rsidP="00470744">
      <w:pPr>
        <w:jc w:val="both"/>
        <w:rPr>
          <w:b/>
          <w:szCs w:val="24"/>
        </w:rPr>
      </w:pPr>
      <w:r w:rsidRPr="005855A1">
        <w:rPr>
          <w:b/>
          <w:szCs w:val="24"/>
        </w:rPr>
        <w:br w:type="page"/>
      </w:r>
    </w:p>
    <w:p w:rsidR="00307EE7" w:rsidRPr="005855A1" w:rsidRDefault="00FC1B76" w:rsidP="0068173B">
      <w:pPr>
        <w:jc w:val="center"/>
        <w:rPr>
          <w:b/>
          <w:szCs w:val="24"/>
        </w:rPr>
      </w:pPr>
      <w:r>
        <w:rPr>
          <w:b/>
          <w:szCs w:val="24"/>
        </w:rPr>
        <w:lastRenderedPageBreak/>
        <w:t>Table A</w:t>
      </w:r>
      <w:r w:rsidR="004E4624">
        <w:rPr>
          <w:b/>
          <w:szCs w:val="24"/>
        </w:rPr>
        <w:t>6</w:t>
      </w:r>
    </w:p>
    <w:p w:rsidR="00307EE7" w:rsidRPr="005855A1" w:rsidRDefault="00307EE7" w:rsidP="0068173B">
      <w:pPr>
        <w:jc w:val="center"/>
        <w:rPr>
          <w:b/>
          <w:szCs w:val="24"/>
        </w:rPr>
      </w:pPr>
      <w:r w:rsidRPr="005855A1">
        <w:rPr>
          <w:b/>
          <w:szCs w:val="24"/>
        </w:rPr>
        <w:t>Representativeness of Employment in Britain 1992</w:t>
      </w:r>
    </w:p>
    <w:p w:rsidR="00307EE7" w:rsidRPr="005855A1" w:rsidRDefault="00307EE7" w:rsidP="00470744">
      <w:pPr>
        <w:jc w:val="both"/>
        <w:rPr>
          <w:b/>
          <w:szCs w:val="24"/>
        </w:rPr>
      </w:pPr>
    </w:p>
    <w:tbl>
      <w:tblPr>
        <w:tblW w:w="585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1078"/>
        <w:gridCol w:w="1260"/>
      </w:tblGrid>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Sex</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EIB92</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LFS Spring, 1992</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Male</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53.8</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54.9</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Female</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46.2</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45.1</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78" w:type="dxa"/>
            <w:vAlign w:val="bottom"/>
          </w:tcPr>
          <w:p w:rsidR="00307EE7" w:rsidRPr="005855A1" w:rsidRDefault="00307EE7" w:rsidP="0068173B">
            <w:pPr>
              <w:ind w:left="-110" w:right="-64"/>
              <w:jc w:val="center"/>
              <w:rPr>
                <w:color w:val="000000"/>
                <w:szCs w:val="24"/>
              </w:rPr>
            </w:pPr>
          </w:p>
        </w:tc>
        <w:tc>
          <w:tcPr>
            <w:tcW w:w="1260" w:type="dxa"/>
            <w:vAlign w:val="bottom"/>
          </w:tcPr>
          <w:p w:rsidR="00307EE7" w:rsidRPr="005855A1" w:rsidRDefault="00307EE7" w:rsidP="00643003">
            <w:pPr>
              <w:ind w:left="-108" w:right="-111"/>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Age</w:t>
            </w:r>
          </w:p>
        </w:tc>
        <w:tc>
          <w:tcPr>
            <w:tcW w:w="1078" w:type="dxa"/>
            <w:vAlign w:val="bottom"/>
          </w:tcPr>
          <w:p w:rsidR="00307EE7" w:rsidRPr="005855A1" w:rsidRDefault="00307EE7" w:rsidP="0068173B">
            <w:pPr>
              <w:ind w:left="-110" w:right="-64"/>
              <w:jc w:val="center"/>
              <w:rPr>
                <w:color w:val="000000"/>
                <w:szCs w:val="24"/>
              </w:rPr>
            </w:pPr>
          </w:p>
        </w:tc>
        <w:tc>
          <w:tcPr>
            <w:tcW w:w="1260" w:type="dxa"/>
            <w:vAlign w:val="bottom"/>
          </w:tcPr>
          <w:p w:rsidR="00307EE7" w:rsidRPr="005855A1" w:rsidRDefault="00307EE7" w:rsidP="00643003">
            <w:pPr>
              <w:ind w:left="-108" w:right="-111"/>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20-29</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30.8</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27.3</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30-39</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27.9</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26.7</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40-49</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26.7</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27.4</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50-60</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14.6</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18.7</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78" w:type="dxa"/>
            <w:vAlign w:val="bottom"/>
          </w:tcPr>
          <w:p w:rsidR="00307EE7" w:rsidRPr="005855A1" w:rsidRDefault="00307EE7" w:rsidP="0068173B">
            <w:pPr>
              <w:ind w:left="-110" w:right="-64"/>
              <w:jc w:val="center"/>
              <w:rPr>
                <w:color w:val="000000"/>
                <w:szCs w:val="24"/>
              </w:rPr>
            </w:pPr>
          </w:p>
        </w:tc>
        <w:tc>
          <w:tcPr>
            <w:tcW w:w="1260" w:type="dxa"/>
            <w:vAlign w:val="bottom"/>
          </w:tcPr>
          <w:p w:rsidR="00307EE7" w:rsidRPr="005855A1" w:rsidRDefault="00307EE7" w:rsidP="00643003">
            <w:pPr>
              <w:ind w:left="-108" w:right="-111"/>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SOC 1990 Occupations</w:t>
            </w:r>
          </w:p>
        </w:tc>
        <w:tc>
          <w:tcPr>
            <w:tcW w:w="1078" w:type="dxa"/>
            <w:vAlign w:val="bottom"/>
          </w:tcPr>
          <w:p w:rsidR="00307EE7" w:rsidRPr="005855A1" w:rsidRDefault="00307EE7" w:rsidP="0068173B">
            <w:pPr>
              <w:ind w:left="-110" w:right="-64"/>
              <w:jc w:val="center"/>
              <w:rPr>
                <w:color w:val="000000"/>
                <w:szCs w:val="24"/>
              </w:rPr>
            </w:pPr>
          </w:p>
        </w:tc>
        <w:tc>
          <w:tcPr>
            <w:tcW w:w="1260" w:type="dxa"/>
            <w:vAlign w:val="bottom"/>
          </w:tcPr>
          <w:p w:rsidR="00307EE7" w:rsidRPr="005855A1" w:rsidRDefault="00307EE7" w:rsidP="00643003">
            <w:pPr>
              <w:ind w:left="-108" w:right="-111"/>
              <w:jc w:val="center"/>
              <w:rPr>
                <w:color w:val="000000"/>
                <w:szCs w:val="24"/>
              </w:rPr>
            </w:pP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Managers</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13.6</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16</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Professionals</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11.6</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10.8</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Associate Professionals</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10.7</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9.5</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Clerical &amp; Secretarial</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15.3</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15.6</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Craft &amp; Related</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13.5</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13.9</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Personal Services</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11.2</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9.5</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Sales</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6.9</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7</w:t>
            </w:r>
            <w:r w:rsidR="00643003">
              <w:rPr>
                <w:color w:val="000000"/>
                <w:szCs w:val="24"/>
              </w:rPr>
              <w:t>.0</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Plant &amp; Machine Operatives</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9.4</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9.7</w:t>
            </w:r>
          </w:p>
        </w:tc>
      </w:tr>
      <w:tr w:rsidR="00307EE7" w:rsidRPr="005855A1" w:rsidTr="00643003">
        <w:trPr>
          <w:trHeight w:val="300"/>
        </w:trPr>
        <w:tc>
          <w:tcPr>
            <w:tcW w:w="3520" w:type="dxa"/>
            <w:shd w:val="clear" w:color="auto" w:fill="auto"/>
            <w:noWrap/>
            <w:hideMark/>
          </w:tcPr>
          <w:p w:rsidR="00307EE7" w:rsidRPr="005855A1" w:rsidRDefault="00307EE7" w:rsidP="00470744">
            <w:pPr>
              <w:jc w:val="both"/>
              <w:rPr>
                <w:szCs w:val="24"/>
              </w:rPr>
            </w:pPr>
            <w:r w:rsidRPr="005855A1">
              <w:rPr>
                <w:szCs w:val="24"/>
              </w:rPr>
              <w:t>Elementary</w:t>
            </w:r>
          </w:p>
        </w:tc>
        <w:tc>
          <w:tcPr>
            <w:tcW w:w="1078" w:type="dxa"/>
            <w:vAlign w:val="bottom"/>
          </w:tcPr>
          <w:p w:rsidR="00307EE7" w:rsidRPr="005855A1" w:rsidRDefault="00307EE7" w:rsidP="0068173B">
            <w:pPr>
              <w:ind w:left="-110" w:right="-64"/>
              <w:jc w:val="center"/>
              <w:rPr>
                <w:color w:val="000000"/>
                <w:szCs w:val="24"/>
              </w:rPr>
            </w:pPr>
            <w:r w:rsidRPr="005855A1">
              <w:rPr>
                <w:color w:val="000000"/>
                <w:szCs w:val="24"/>
              </w:rPr>
              <w:t>8.0</w:t>
            </w:r>
          </w:p>
        </w:tc>
        <w:tc>
          <w:tcPr>
            <w:tcW w:w="1260" w:type="dxa"/>
            <w:vAlign w:val="bottom"/>
          </w:tcPr>
          <w:p w:rsidR="00307EE7" w:rsidRPr="005855A1" w:rsidRDefault="00307EE7" w:rsidP="00643003">
            <w:pPr>
              <w:ind w:left="-108" w:right="-111"/>
              <w:jc w:val="center"/>
              <w:rPr>
                <w:color w:val="000000"/>
                <w:szCs w:val="24"/>
              </w:rPr>
            </w:pPr>
            <w:r w:rsidRPr="005855A1">
              <w:rPr>
                <w:color w:val="000000"/>
                <w:szCs w:val="24"/>
              </w:rPr>
              <w:t>8.1</w:t>
            </w:r>
          </w:p>
        </w:tc>
      </w:tr>
    </w:tbl>
    <w:p w:rsidR="00BA3C18" w:rsidRPr="00BA3C18" w:rsidRDefault="00BA3C18" w:rsidP="00BA3C18">
      <w:pPr>
        <w:jc w:val="both"/>
        <w:rPr>
          <w:i/>
          <w:szCs w:val="24"/>
        </w:rPr>
      </w:pPr>
      <w:r w:rsidRPr="00BA3C18">
        <w:rPr>
          <w:i/>
          <w:szCs w:val="24"/>
        </w:rPr>
        <w:t>Note:</w:t>
      </w:r>
    </w:p>
    <w:p w:rsidR="00BA3C18" w:rsidRPr="005855A1" w:rsidRDefault="00BA3C18" w:rsidP="00BA3C18">
      <w:pPr>
        <w:jc w:val="both"/>
        <w:rPr>
          <w:szCs w:val="24"/>
        </w:rPr>
      </w:pPr>
      <w:r>
        <w:rPr>
          <w:szCs w:val="24"/>
        </w:rPr>
        <w:t>The survey is weighted by the design weight, while the LFS by the representativeness weight supplied with the data.</w:t>
      </w:r>
    </w:p>
    <w:p w:rsidR="00307EE7" w:rsidRPr="005855A1" w:rsidRDefault="00307EE7" w:rsidP="00470744">
      <w:pPr>
        <w:jc w:val="both"/>
        <w:rPr>
          <w:szCs w:val="24"/>
        </w:rPr>
      </w:pPr>
    </w:p>
    <w:p w:rsidR="00307EE7" w:rsidRPr="005855A1" w:rsidRDefault="00307EE7" w:rsidP="00470744">
      <w:pPr>
        <w:jc w:val="both"/>
        <w:rPr>
          <w:szCs w:val="24"/>
        </w:rPr>
      </w:pPr>
    </w:p>
    <w:p w:rsidR="00307EE7" w:rsidRPr="005855A1" w:rsidRDefault="00307EE7" w:rsidP="00470744">
      <w:pPr>
        <w:jc w:val="both"/>
        <w:rPr>
          <w:b/>
          <w:szCs w:val="24"/>
        </w:rPr>
      </w:pPr>
    </w:p>
    <w:p w:rsidR="00307EE7" w:rsidRPr="005855A1" w:rsidRDefault="00307EE7" w:rsidP="00470744">
      <w:pPr>
        <w:jc w:val="both"/>
        <w:rPr>
          <w:b/>
          <w:szCs w:val="24"/>
        </w:rPr>
      </w:pPr>
      <w:r w:rsidRPr="005855A1">
        <w:rPr>
          <w:b/>
          <w:szCs w:val="24"/>
        </w:rPr>
        <w:br w:type="page"/>
      </w:r>
    </w:p>
    <w:p w:rsidR="00307EE7" w:rsidRPr="005855A1" w:rsidRDefault="00FC1B76" w:rsidP="0068173B">
      <w:pPr>
        <w:jc w:val="center"/>
        <w:rPr>
          <w:b/>
          <w:szCs w:val="24"/>
        </w:rPr>
      </w:pPr>
      <w:r>
        <w:rPr>
          <w:b/>
          <w:szCs w:val="24"/>
        </w:rPr>
        <w:lastRenderedPageBreak/>
        <w:t>Table A</w:t>
      </w:r>
      <w:r w:rsidR="004E4624">
        <w:rPr>
          <w:b/>
          <w:szCs w:val="24"/>
        </w:rPr>
        <w:t>7</w:t>
      </w:r>
    </w:p>
    <w:p w:rsidR="00307EE7" w:rsidRPr="005855A1" w:rsidRDefault="00307EE7" w:rsidP="0068173B">
      <w:pPr>
        <w:jc w:val="center"/>
        <w:rPr>
          <w:b/>
          <w:szCs w:val="24"/>
        </w:rPr>
      </w:pPr>
      <w:r w:rsidRPr="005855A1">
        <w:rPr>
          <w:b/>
          <w:szCs w:val="24"/>
        </w:rPr>
        <w:t>Representativeness of the Social Change and Economic Life Initiative 1986</w:t>
      </w:r>
    </w:p>
    <w:p w:rsidR="00307EE7" w:rsidRPr="005855A1" w:rsidRDefault="00307EE7" w:rsidP="00470744">
      <w:pPr>
        <w:jc w:val="both"/>
        <w:rPr>
          <w:b/>
          <w:szCs w:val="24"/>
        </w:rPr>
      </w:pPr>
    </w:p>
    <w:tbl>
      <w:tblPr>
        <w:tblW w:w="567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1049"/>
        <w:gridCol w:w="1109"/>
      </w:tblGrid>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Sex</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SCELI86</w:t>
            </w:r>
          </w:p>
          <w:p w:rsidR="00307EE7" w:rsidRPr="005855A1" w:rsidRDefault="00307EE7" w:rsidP="00643003">
            <w:pPr>
              <w:ind w:left="-110" w:right="-47"/>
              <w:jc w:val="center"/>
              <w:rPr>
                <w:color w:val="000000"/>
                <w:szCs w:val="24"/>
              </w:rPr>
            </w:pPr>
          </w:p>
        </w:tc>
        <w:tc>
          <w:tcPr>
            <w:tcW w:w="1109" w:type="dxa"/>
            <w:vAlign w:val="bottom"/>
          </w:tcPr>
          <w:p w:rsidR="00307EE7" w:rsidRPr="005855A1" w:rsidRDefault="00307EE7" w:rsidP="00643003">
            <w:pPr>
              <w:ind w:left="-139" w:right="-108"/>
              <w:jc w:val="center"/>
              <w:rPr>
                <w:color w:val="000000"/>
                <w:szCs w:val="24"/>
              </w:rPr>
            </w:pPr>
            <w:r w:rsidRPr="005855A1">
              <w:rPr>
                <w:color w:val="000000"/>
                <w:szCs w:val="24"/>
              </w:rPr>
              <w:t>LFS 1986</w:t>
            </w:r>
          </w:p>
          <w:p w:rsidR="00307EE7" w:rsidRPr="005855A1" w:rsidRDefault="00307EE7" w:rsidP="00643003">
            <w:pPr>
              <w:ind w:left="-139" w:right="-108"/>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Male</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52.2</w:t>
            </w:r>
          </w:p>
        </w:tc>
        <w:tc>
          <w:tcPr>
            <w:tcW w:w="1109" w:type="dxa"/>
            <w:vAlign w:val="bottom"/>
          </w:tcPr>
          <w:p w:rsidR="00307EE7" w:rsidRPr="005855A1" w:rsidRDefault="00307EE7" w:rsidP="00643003">
            <w:pPr>
              <w:ind w:left="-110" w:right="-108"/>
              <w:jc w:val="center"/>
              <w:rPr>
                <w:color w:val="000000"/>
                <w:szCs w:val="24"/>
              </w:rPr>
            </w:pPr>
            <w:r w:rsidRPr="005855A1">
              <w:rPr>
                <w:color w:val="000000"/>
                <w:szCs w:val="24"/>
              </w:rPr>
              <w:t>57.5</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Female</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47.8</w:t>
            </w:r>
          </w:p>
        </w:tc>
        <w:tc>
          <w:tcPr>
            <w:tcW w:w="1109" w:type="dxa"/>
            <w:vAlign w:val="bottom"/>
          </w:tcPr>
          <w:p w:rsidR="00307EE7" w:rsidRPr="005855A1" w:rsidRDefault="00307EE7" w:rsidP="00643003">
            <w:pPr>
              <w:ind w:left="-110" w:right="-108"/>
              <w:jc w:val="center"/>
              <w:rPr>
                <w:color w:val="000000"/>
                <w:szCs w:val="24"/>
              </w:rPr>
            </w:pPr>
            <w:r w:rsidRPr="005855A1">
              <w:rPr>
                <w:color w:val="000000"/>
                <w:szCs w:val="24"/>
              </w:rPr>
              <w:t>42.5</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49" w:type="dxa"/>
            <w:vAlign w:val="bottom"/>
          </w:tcPr>
          <w:p w:rsidR="00307EE7" w:rsidRPr="005855A1" w:rsidRDefault="00307EE7" w:rsidP="00643003">
            <w:pPr>
              <w:ind w:left="-110" w:right="-47"/>
              <w:jc w:val="center"/>
              <w:rPr>
                <w:color w:val="000000"/>
                <w:szCs w:val="24"/>
              </w:rPr>
            </w:pPr>
          </w:p>
        </w:tc>
        <w:tc>
          <w:tcPr>
            <w:tcW w:w="1109" w:type="dxa"/>
            <w:vAlign w:val="bottom"/>
          </w:tcPr>
          <w:p w:rsidR="00307EE7" w:rsidRPr="005855A1" w:rsidRDefault="00307EE7" w:rsidP="00643003">
            <w:pPr>
              <w:ind w:left="-110" w:right="-108"/>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Age</w:t>
            </w:r>
          </w:p>
        </w:tc>
        <w:tc>
          <w:tcPr>
            <w:tcW w:w="1049" w:type="dxa"/>
            <w:vAlign w:val="bottom"/>
          </w:tcPr>
          <w:p w:rsidR="00307EE7" w:rsidRPr="005855A1" w:rsidRDefault="00307EE7" w:rsidP="00643003">
            <w:pPr>
              <w:ind w:left="-110" w:right="-47"/>
              <w:jc w:val="center"/>
              <w:rPr>
                <w:color w:val="000000"/>
                <w:szCs w:val="24"/>
              </w:rPr>
            </w:pPr>
          </w:p>
        </w:tc>
        <w:tc>
          <w:tcPr>
            <w:tcW w:w="1109" w:type="dxa"/>
            <w:vAlign w:val="bottom"/>
          </w:tcPr>
          <w:p w:rsidR="00307EE7" w:rsidRPr="005855A1" w:rsidRDefault="00307EE7" w:rsidP="00643003">
            <w:pPr>
              <w:ind w:left="-110" w:right="-108"/>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20-29</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28.0</w:t>
            </w:r>
          </w:p>
        </w:tc>
        <w:tc>
          <w:tcPr>
            <w:tcW w:w="1109" w:type="dxa"/>
            <w:vAlign w:val="bottom"/>
          </w:tcPr>
          <w:p w:rsidR="00307EE7" w:rsidRPr="005855A1" w:rsidRDefault="00307EE7" w:rsidP="00643003">
            <w:pPr>
              <w:ind w:left="-110" w:right="-108"/>
              <w:jc w:val="center"/>
              <w:rPr>
                <w:color w:val="000000"/>
                <w:szCs w:val="24"/>
              </w:rPr>
            </w:pPr>
            <w:r w:rsidRPr="005855A1">
              <w:rPr>
                <w:color w:val="000000"/>
                <w:szCs w:val="24"/>
              </w:rPr>
              <w:t>28.4</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30-39</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31.0</w:t>
            </w:r>
          </w:p>
        </w:tc>
        <w:tc>
          <w:tcPr>
            <w:tcW w:w="1109" w:type="dxa"/>
            <w:vAlign w:val="bottom"/>
          </w:tcPr>
          <w:p w:rsidR="00307EE7" w:rsidRPr="005855A1" w:rsidRDefault="00307EE7" w:rsidP="00643003">
            <w:pPr>
              <w:ind w:left="-110" w:right="-108"/>
              <w:jc w:val="center"/>
              <w:rPr>
                <w:color w:val="000000"/>
                <w:szCs w:val="24"/>
              </w:rPr>
            </w:pPr>
            <w:r w:rsidRPr="005855A1">
              <w:rPr>
                <w:color w:val="000000"/>
                <w:szCs w:val="24"/>
              </w:rPr>
              <w:t>27.2</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40-49</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23.7</w:t>
            </w:r>
          </w:p>
        </w:tc>
        <w:tc>
          <w:tcPr>
            <w:tcW w:w="1109" w:type="dxa"/>
            <w:vAlign w:val="bottom"/>
          </w:tcPr>
          <w:p w:rsidR="00307EE7" w:rsidRPr="005855A1" w:rsidRDefault="00307EE7" w:rsidP="00643003">
            <w:pPr>
              <w:ind w:left="-110" w:right="-108"/>
              <w:jc w:val="center"/>
              <w:rPr>
                <w:color w:val="000000"/>
                <w:szCs w:val="24"/>
              </w:rPr>
            </w:pPr>
            <w:r w:rsidRPr="005855A1">
              <w:rPr>
                <w:color w:val="000000"/>
                <w:szCs w:val="24"/>
              </w:rPr>
              <w:t>24.4</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r w:rsidRPr="005855A1">
              <w:rPr>
                <w:rFonts w:eastAsia="Times New Roman"/>
                <w:color w:val="000000"/>
                <w:szCs w:val="24"/>
                <w:lang w:eastAsia="en-GB"/>
              </w:rPr>
              <w:t>50-60</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17.2</w:t>
            </w:r>
          </w:p>
        </w:tc>
        <w:tc>
          <w:tcPr>
            <w:tcW w:w="1109" w:type="dxa"/>
            <w:vAlign w:val="bottom"/>
          </w:tcPr>
          <w:p w:rsidR="00307EE7" w:rsidRPr="005855A1" w:rsidRDefault="00307EE7" w:rsidP="00643003">
            <w:pPr>
              <w:ind w:left="-110" w:right="-108"/>
              <w:jc w:val="center"/>
              <w:rPr>
                <w:color w:val="000000"/>
                <w:szCs w:val="24"/>
              </w:rPr>
            </w:pPr>
            <w:r w:rsidRPr="005855A1">
              <w:rPr>
                <w:color w:val="000000"/>
                <w:szCs w:val="24"/>
              </w:rPr>
              <w:t>20.1</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rFonts w:eastAsia="Times New Roman"/>
                <w:color w:val="000000"/>
                <w:szCs w:val="24"/>
                <w:lang w:eastAsia="en-GB"/>
              </w:rPr>
            </w:pPr>
          </w:p>
        </w:tc>
        <w:tc>
          <w:tcPr>
            <w:tcW w:w="1049" w:type="dxa"/>
            <w:vAlign w:val="bottom"/>
          </w:tcPr>
          <w:p w:rsidR="00307EE7" w:rsidRPr="005855A1" w:rsidRDefault="00307EE7" w:rsidP="00643003">
            <w:pPr>
              <w:ind w:left="-110" w:right="-47"/>
              <w:jc w:val="center"/>
              <w:rPr>
                <w:color w:val="000000"/>
                <w:szCs w:val="24"/>
              </w:rPr>
            </w:pPr>
          </w:p>
        </w:tc>
        <w:tc>
          <w:tcPr>
            <w:tcW w:w="1109" w:type="dxa"/>
            <w:vAlign w:val="bottom"/>
          </w:tcPr>
          <w:p w:rsidR="00307EE7" w:rsidRPr="005855A1" w:rsidRDefault="00307EE7" w:rsidP="00643003">
            <w:pPr>
              <w:ind w:left="-110" w:right="-108"/>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886BAA">
            <w:pPr>
              <w:rPr>
                <w:color w:val="000000"/>
                <w:szCs w:val="24"/>
              </w:rPr>
            </w:pPr>
            <w:r w:rsidRPr="005855A1">
              <w:rPr>
                <w:color w:val="000000"/>
                <w:szCs w:val="24"/>
              </w:rPr>
              <w:t>Registrar General’s Social Class</w:t>
            </w:r>
          </w:p>
        </w:tc>
        <w:tc>
          <w:tcPr>
            <w:tcW w:w="1049" w:type="dxa"/>
            <w:vAlign w:val="bottom"/>
          </w:tcPr>
          <w:p w:rsidR="00307EE7" w:rsidRPr="005855A1" w:rsidRDefault="00307EE7" w:rsidP="00643003">
            <w:pPr>
              <w:ind w:left="-110" w:right="-47"/>
              <w:jc w:val="center"/>
              <w:rPr>
                <w:color w:val="000000"/>
                <w:szCs w:val="24"/>
              </w:rPr>
            </w:pPr>
          </w:p>
        </w:tc>
        <w:tc>
          <w:tcPr>
            <w:tcW w:w="1109" w:type="dxa"/>
            <w:vAlign w:val="bottom"/>
          </w:tcPr>
          <w:p w:rsidR="00307EE7" w:rsidRPr="005855A1" w:rsidRDefault="00307EE7" w:rsidP="00643003">
            <w:pPr>
              <w:ind w:left="-110" w:right="-108"/>
              <w:jc w:val="center"/>
              <w:rPr>
                <w:color w:val="000000"/>
                <w:szCs w:val="24"/>
              </w:rPr>
            </w:pP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color w:val="000000"/>
                <w:szCs w:val="24"/>
              </w:rPr>
            </w:pPr>
            <w:r w:rsidRPr="005855A1">
              <w:rPr>
                <w:color w:val="000000"/>
                <w:szCs w:val="24"/>
              </w:rPr>
              <w:t>Professional</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4.5</w:t>
            </w:r>
          </w:p>
        </w:tc>
        <w:tc>
          <w:tcPr>
            <w:tcW w:w="1109" w:type="dxa"/>
            <w:vAlign w:val="bottom"/>
          </w:tcPr>
          <w:p w:rsidR="00307EE7" w:rsidRPr="005855A1" w:rsidRDefault="00307EE7" w:rsidP="00643003">
            <w:pPr>
              <w:ind w:left="-110" w:right="-108"/>
              <w:jc w:val="center"/>
              <w:rPr>
                <w:color w:val="000000"/>
                <w:szCs w:val="24"/>
              </w:rPr>
            </w:pPr>
            <w:r w:rsidRPr="005855A1">
              <w:rPr>
                <w:color w:val="000000"/>
                <w:szCs w:val="24"/>
              </w:rPr>
              <w:t>5.1</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color w:val="000000"/>
                <w:szCs w:val="24"/>
              </w:rPr>
            </w:pPr>
            <w:r w:rsidRPr="005855A1">
              <w:rPr>
                <w:color w:val="000000"/>
                <w:szCs w:val="24"/>
              </w:rPr>
              <w:t>Intermediate</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26.3</w:t>
            </w:r>
          </w:p>
        </w:tc>
        <w:tc>
          <w:tcPr>
            <w:tcW w:w="1109" w:type="dxa"/>
            <w:vAlign w:val="bottom"/>
          </w:tcPr>
          <w:p w:rsidR="00307EE7" w:rsidRPr="005855A1" w:rsidRDefault="00307EE7" w:rsidP="00643003">
            <w:pPr>
              <w:ind w:left="-110" w:right="-108"/>
              <w:jc w:val="center"/>
              <w:rPr>
                <w:color w:val="000000"/>
                <w:szCs w:val="24"/>
              </w:rPr>
            </w:pPr>
            <w:r w:rsidRPr="005855A1">
              <w:rPr>
                <w:color w:val="000000"/>
                <w:szCs w:val="24"/>
              </w:rPr>
              <w:t>24.6</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color w:val="000000"/>
                <w:szCs w:val="24"/>
              </w:rPr>
            </w:pPr>
            <w:r w:rsidRPr="005855A1">
              <w:rPr>
                <w:color w:val="000000"/>
                <w:szCs w:val="24"/>
              </w:rPr>
              <w:t>Skilled Non-Manual</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23.0</w:t>
            </w:r>
          </w:p>
        </w:tc>
        <w:tc>
          <w:tcPr>
            <w:tcW w:w="1109" w:type="dxa"/>
            <w:vAlign w:val="bottom"/>
          </w:tcPr>
          <w:p w:rsidR="00307EE7" w:rsidRPr="005855A1" w:rsidRDefault="00307EE7" w:rsidP="00643003">
            <w:pPr>
              <w:ind w:left="-110" w:right="-108"/>
              <w:jc w:val="center"/>
              <w:rPr>
                <w:color w:val="000000"/>
                <w:szCs w:val="24"/>
              </w:rPr>
            </w:pPr>
            <w:r w:rsidRPr="005855A1">
              <w:rPr>
                <w:color w:val="000000"/>
                <w:szCs w:val="24"/>
              </w:rPr>
              <w:t>23.6</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color w:val="000000"/>
                <w:szCs w:val="24"/>
              </w:rPr>
            </w:pPr>
            <w:r w:rsidRPr="005855A1">
              <w:rPr>
                <w:color w:val="000000"/>
                <w:szCs w:val="24"/>
              </w:rPr>
              <w:t>Skill Manual</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21.4</w:t>
            </w:r>
          </w:p>
        </w:tc>
        <w:tc>
          <w:tcPr>
            <w:tcW w:w="1109" w:type="dxa"/>
            <w:vAlign w:val="bottom"/>
          </w:tcPr>
          <w:p w:rsidR="00307EE7" w:rsidRPr="005855A1" w:rsidRDefault="00307EE7" w:rsidP="00643003">
            <w:pPr>
              <w:ind w:left="-110" w:right="-108"/>
              <w:jc w:val="center"/>
              <w:rPr>
                <w:color w:val="000000"/>
                <w:szCs w:val="24"/>
              </w:rPr>
            </w:pPr>
            <w:r w:rsidRPr="005855A1">
              <w:rPr>
                <w:color w:val="000000"/>
                <w:szCs w:val="24"/>
              </w:rPr>
              <w:t>24.0</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color w:val="000000"/>
                <w:szCs w:val="24"/>
              </w:rPr>
            </w:pPr>
            <w:r w:rsidRPr="005855A1">
              <w:rPr>
                <w:color w:val="000000"/>
                <w:szCs w:val="24"/>
              </w:rPr>
              <w:t>Partly Skilled</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18.9</w:t>
            </w:r>
          </w:p>
        </w:tc>
        <w:tc>
          <w:tcPr>
            <w:tcW w:w="1109" w:type="dxa"/>
            <w:vAlign w:val="bottom"/>
          </w:tcPr>
          <w:p w:rsidR="00307EE7" w:rsidRPr="005855A1" w:rsidRDefault="00307EE7" w:rsidP="00643003">
            <w:pPr>
              <w:ind w:left="-110" w:right="-108"/>
              <w:jc w:val="center"/>
              <w:rPr>
                <w:color w:val="000000"/>
                <w:szCs w:val="24"/>
              </w:rPr>
            </w:pPr>
            <w:r w:rsidRPr="005855A1">
              <w:rPr>
                <w:color w:val="000000"/>
                <w:szCs w:val="24"/>
              </w:rPr>
              <w:t>16.6</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color w:val="000000"/>
                <w:szCs w:val="24"/>
              </w:rPr>
            </w:pPr>
            <w:r w:rsidRPr="005855A1">
              <w:rPr>
                <w:color w:val="000000"/>
                <w:szCs w:val="24"/>
              </w:rPr>
              <w:t>Unskilled</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5.9</w:t>
            </w:r>
          </w:p>
        </w:tc>
        <w:tc>
          <w:tcPr>
            <w:tcW w:w="1109" w:type="dxa"/>
            <w:vAlign w:val="bottom"/>
          </w:tcPr>
          <w:p w:rsidR="00307EE7" w:rsidRPr="005855A1" w:rsidRDefault="00307EE7" w:rsidP="00643003">
            <w:pPr>
              <w:ind w:left="-110" w:right="-108"/>
              <w:jc w:val="center"/>
              <w:rPr>
                <w:color w:val="000000"/>
                <w:szCs w:val="24"/>
              </w:rPr>
            </w:pPr>
            <w:r w:rsidRPr="005855A1">
              <w:rPr>
                <w:color w:val="000000"/>
                <w:szCs w:val="24"/>
              </w:rPr>
              <w:t>5.5</w:t>
            </w:r>
          </w:p>
        </w:tc>
      </w:tr>
      <w:tr w:rsidR="00307EE7" w:rsidRPr="005855A1" w:rsidTr="00643003">
        <w:trPr>
          <w:trHeight w:val="300"/>
        </w:trPr>
        <w:tc>
          <w:tcPr>
            <w:tcW w:w="3520" w:type="dxa"/>
            <w:shd w:val="clear" w:color="auto" w:fill="auto"/>
            <w:noWrap/>
            <w:vAlign w:val="bottom"/>
            <w:hideMark/>
          </w:tcPr>
          <w:p w:rsidR="00307EE7" w:rsidRPr="005855A1" w:rsidRDefault="00307EE7" w:rsidP="00470744">
            <w:pPr>
              <w:jc w:val="both"/>
              <w:rPr>
                <w:color w:val="000000"/>
                <w:szCs w:val="24"/>
              </w:rPr>
            </w:pPr>
            <w:r w:rsidRPr="005855A1">
              <w:rPr>
                <w:color w:val="000000"/>
                <w:szCs w:val="24"/>
              </w:rPr>
              <w:t>Armed Forces</w:t>
            </w:r>
          </w:p>
        </w:tc>
        <w:tc>
          <w:tcPr>
            <w:tcW w:w="1049" w:type="dxa"/>
            <w:vAlign w:val="bottom"/>
          </w:tcPr>
          <w:p w:rsidR="00307EE7" w:rsidRPr="005855A1" w:rsidRDefault="00307EE7" w:rsidP="00643003">
            <w:pPr>
              <w:ind w:left="-110" w:right="-47"/>
              <w:jc w:val="center"/>
              <w:rPr>
                <w:color w:val="000000"/>
                <w:szCs w:val="24"/>
              </w:rPr>
            </w:pPr>
            <w:r w:rsidRPr="005855A1">
              <w:rPr>
                <w:color w:val="000000"/>
                <w:szCs w:val="24"/>
              </w:rPr>
              <w:t>0.0</w:t>
            </w:r>
          </w:p>
        </w:tc>
        <w:tc>
          <w:tcPr>
            <w:tcW w:w="1109" w:type="dxa"/>
            <w:vAlign w:val="bottom"/>
          </w:tcPr>
          <w:p w:rsidR="00307EE7" w:rsidRPr="005855A1" w:rsidRDefault="00307EE7" w:rsidP="00643003">
            <w:pPr>
              <w:ind w:left="-110" w:right="-108"/>
              <w:jc w:val="center"/>
              <w:rPr>
                <w:color w:val="000000"/>
                <w:szCs w:val="24"/>
              </w:rPr>
            </w:pPr>
            <w:r w:rsidRPr="005855A1">
              <w:rPr>
                <w:color w:val="000000"/>
                <w:szCs w:val="24"/>
              </w:rPr>
              <w:t>0.8</w:t>
            </w:r>
          </w:p>
        </w:tc>
      </w:tr>
    </w:tbl>
    <w:p w:rsidR="00BA3C18" w:rsidRPr="00BA3C18" w:rsidRDefault="00BA3C18" w:rsidP="00BA3C18">
      <w:pPr>
        <w:jc w:val="both"/>
        <w:rPr>
          <w:i/>
          <w:szCs w:val="24"/>
        </w:rPr>
      </w:pPr>
      <w:r w:rsidRPr="00BA3C18">
        <w:rPr>
          <w:i/>
          <w:szCs w:val="24"/>
        </w:rPr>
        <w:t>Note:</w:t>
      </w:r>
    </w:p>
    <w:p w:rsidR="00BA3C18" w:rsidRPr="005855A1" w:rsidRDefault="00BA3C18" w:rsidP="00BA3C18">
      <w:pPr>
        <w:jc w:val="both"/>
        <w:rPr>
          <w:szCs w:val="24"/>
        </w:rPr>
      </w:pPr>
      <w:r>
        <w:rPr>
          <w:szCs w:val="24"/>
        </w:rPr>
        <w:t>The survey is weighted by the design weight, while the LFS by the representativeness weight supplied with the data.</w:t>
      </w:r>
    </w:p>
    <w:p w:rsidR="00307EE7" w:rsidRPr="005855A1" w:rsidRDefault="00307EE7" w:rsidP="00470744">
      <w:pPr>
        <w:jc w:val="both"/>
        <w:rPr>
          <w:szCs w:val="24"/>
        </w:rPr>
      </w:pPr>
    </w:p>
    <w:p w:rsidR="00307EE7" w:rsidRPr="005855A1" w:rsidRDefault="00307EE7" w:rsidP="00470744">
      <w:pPr>
        <w:jc w:val="both"/>
        <w:rPr>
          <w:b/>
          <w:szCs w:val="24"/>
        </w:rPr>
      </w:pPr>
    </w:p>
    <w:p w:rsidR="00307EE7" w:rsidRPr="005855A1" w:rsidRDefault="00307EE7" w:rsidP="00470744">
      <w:pPr>
        <w:jc w:val="both"/>
        <w:rPr>
          <w:szCs w:val="24"/>
        </w:rPr>
      </w:pPr>
    </w:p>
    <w:p w:rsidR="00307EE7" w:rsidRPr="005855A1" w:rsidRDefault="00307EE7" w:rsidP="00470744">
      <w:pPr>
        <w:jc w:val="both"/>
        <w:rPr>
          <w:b/>
          <w:szCs w:val="24"/>
        </w:rPr>
      </w:pPr>
    </w:p>
    <w:p w:rsidR="00307EE7" w:rsidRPr="005855A1" w:rsidRDefault="00307EE7" w:rsidP="00470744">
      <w:pPr>
        <w:jc w:val="both"/>
        <w:rPr>
          <w:szCs w:val="24"/>
        </w:rPr>
      </w:pPr>
    </w:p>
    <w:p w:rsidR="00307EE7" w:rsidRPr="005855A1" w:rsidRDefault="00307EE7" w:rsidP="00470744">
      <w:pPr>
        <w:jc w:val="both"/>
        <w:rPr>
          <w:b/>
          <w:szCs w:val="24"/>
        </w:rPr>
      </w:pPr>
    </w:p>
    <w:p w:rsidR="00307EE7" w:rsidRPr="005855A1" w:rsidRDefault="00307EE7" w:rsidP="00470744">
      <w:pPr>
        <w:jc w:val="both"/>
        <w:rPr>
          <w:szCs w:val="24"/>
        </w:rPr>
      </w:pPr>
    </w:p>
    <w:p w:rsidR="00307EE7" w:rsidRPr="005855A1" w:rsidRDefault="00307EE7" w:rsidP="00470744">
      <w:pPr>
        <w:jc w:val="both"/>
        <w:rPr>
          <w:b/>
          <w:szCs w:val="24"/>
        </w:rPr>
      </w:pPr>
    </w:p>
    <w:p w:rsidR="00307EE7" w:rsidRPr="005855A1" w:rsidRDefault="00307EE7" w:rsidP="00470744">
      <w:pPr>
        <w:jc w:val="both"/>
        <w:rPr>
          <w:szCs w:val="24"/>
        </w:rPr>
      </w:pPr>
    </w:p>
    <w:p w:rsidR="00307EE7" w:rsidRPr="005855A1" w:rsidRDefault="00307EE7" w:rsidP="00470744">
      <w:pPr>
        <w:jc w:val="both"/>
        <w:rPr>
          <w:b/>
          <w:szCs w:val="24"/>
        </w:rPr>
      </w:pPr>
    </w:p>
    <w:p w:rsidR="00307EE7" w:rsidRPr="005855A1" w:rsidRDefault="00307EE7" w:rsidP="00470744">
      <w:pPr>
        <w:jc w:val="both"/>
        <w:rPr>
          <w:szCs w:val="24"/>
        </w:rPr>
      </w:pPr>
    </w:p>
    <w:p w:rsidR="00307EE7" w:rsidRPr="005855A1" w:rsidRDefault="00307EE7" w:rsidP="00470744">
      <w:pPr>
        <w:jc w:val="both"/>
        <w:rPr>
          <w:b/>
          <w:szCs w:val="24"/>
        </w:rPr>
      </w:pPr>
    </w:p>
    <w:p w:rsidR="00307EE7" w:rsidRPr="005855A1" w:rsidRDefault="00307EE7" w:rsidP="00470744">
      <w:pPr>
        <w:jc w:val="both"/>
        <w:rPr>
          <w:szCs w:val="24"/>
        </w:rPr>
      </w:pPr>
    </w:p>
    <w:p w:rsidR="00307EE7" w:rsidRPr="005855A1" w:rsidRDefault="00307EE7" w:rsidP="00470744">
      <w:pPr>
        <w:jc w:val="both"/>
        <w:rPr>
          <w:szCs w:val="24"/>
        </w:rPr>
      </w:pPr>
    </w:p>
    <w:p w:rsidR="001955F0" w:rsidRPr="005855A1" w:rsidRDefault="001955F0" w:rsidP="00470744">
      <w:pPr>
        <w:jc w:val="both"/>
        <w:rPr>
          <w:szCs w:val="24"/>
        </w:rPr>
      </w:pPr>
    </w:p>
    <w:p w:rsidR="001955F0" w:rsidRPr="005855A1" w:rsidRDefault="001955F0" w:rsidP="00470744">
      <w:pPr>
        <w:ind w:firstLine="60"/>
        <w:jc w:val="both"/>
        <w:rPr>
          <w:szCs w:val="24"/>
        </w:rPr>
      </w:pPr>
    </w:p>
    <w:p w:rsidR="00E57D6A" w:rsidRPr="005855A1" w:rsidRDefault="00A30B10" w:rsidP="00470744">
      <w:pPr>
        <w:jc w:val="both"/>
        <w:rPr>
          <w:szCs w:val="24"/>
        </w:rPr>
      </w:pPr>
      <w:r w:rsidRPr="00A30B10">
        <w:rPr>
          <w:noProof/>
          <w:szCs w:val="24"/>
          <w:lang w:eastAsia="en-GB"/>
        </w:rPr>
        <w:drawing>
          <wp:inline distT="0" distB="0" distL="0" distR="0">
            <wp:extent cx="675851" cy="714375"/>
            <wp:effectExtent l="19050" t="0" r="0" b="0"/>
            <wp:docPr id="7" name="Picture 1" descr="EPS CMYK Small with Bord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 CMYK Small with Border.eps"/>
                    <pic:cNvPicPr/>
                  </pic:nvPicPr>
                  <pic:blipFill>
                    <a:blip r:embed="rId12" cstate="print"/>
                    <a:stretch>
                      <a:fillRect/>
                    </a:stretch>
                  </pic:blipFill>
                  <pic:spPr>
                    <a:xfrm>
                      <a:off x="0" y="0"/>
                      <a:ext cx="678928" cy="717627"/>
                    </a:xfrm>
                    <a:prstGeom prst="rect">
                      <a:avLst/>
                    </a:prstGeom>
                  </pic:spPr>
                </pic:pic>
              </a:graphicData>
            </a:graphic>
          </wp:inline>
        </w:drawing>
      </w:r>
      <w:r>
        <w:rPr>
          <w:szCs w:val="24"/>
        </w:rPr>
        <w:tab/>
      </w:r>
      <w:r>
        <w:rPr>
          <w:szCs w:val="24"/>
        </w:rPr>
        <w:tab/>
      </w:r>
      <w:r>
        <w:rPr>
          <w:szCs w:val="24"/>
        </w:rPr>
        <w:tab/>
      </w:r>
      <w:r>
        <w:rPr>
          <w:szCs w:val="24"/>
        </w:rPr>
        <w:tab/>
      </w:r>
      <w:r>
        <w:rPr>
          <w:szCs w:val="24"/>
        </w:rPr>
        <w:tab/>
        <w:t xml:space="preserve"> </w:t>
      </w:r>
      <w:r>
        <w:rPr>
          <w:szCs w:val="24"/>
        </w:rPr>
        <w:tab/>
      </w:r>
      <w:r>
        <w:rPr>
          <w:szCs w:val="24"/>
        </w:rPr>
        <w:tab/>
        <w:t xml:space="preserve"> </w:t>
      </w:r>
      <w:r>
        <w:rPr>
          <w:szCs w:val="24"/>
        </w:rPr>
        <w:tab/>
        <w:t xml:space="preserve">      </w:t>
      </w:r>
      <w:r w:rsidRPr="00A30B10">
        <w:rPr>
          <w:noProof/>
          <w:szCs w:val="24"/>
          <w:lang w:eastAsia="en-GB"/>
        </w:rPr>
        <w:drawing>
          <wp:inline distT="0" distB="0" distL="0" distR="0">
            <wp:extent cx="1104900" cy="714375"/>
            <wp:effectExtent l="19050" t="0" r="0" b="0"/>
            <wp:docPr id="10" name="Picture 11" descr="ukc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ces-logo.png"/>
                    <pic:cNvPicPr/>
                  </pic:nvPicPr>
                  <pic:blipFill>
                    <a:blip r:embed="rId13" cstate="print"/>
                    <a:stretch>
                      <a:fillRect/>
                    </a:stretch>
                  </pic:blipFill>
                  <pic:spPr>
                    <a:xfrm>
                      <a:off x="0" y="0"/>
                      <a:ext cx="1111367" cy="718556"/>
                    </a:xfrm>
                    <a:prstGeom prst="rect">
                      <a:avLst/>
                    </a:prstGeom>
                  </pic:spPr>
                </pic:pic>
              </a:graphicData>
            </a:graphic>
          </wp:inline>
        </w:drawing>
      </w:r>
    </w:p>
    <w:sectPr w:rsidR="00E57D6A" w:rsidRPr="005855A1" w:rsidSect="007C4417">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7B9" w:rsidRDefault="001237B9" w:rsidP="00BD5662">
      <w:r>
        <w:separator/>
      </w:r>
    </w:p>
  </w:endnote>
  <w:endnote w:type="continuationSeparator" w:id="0">
    <w:p w:rsidR="001237B9" w:rsidRDefault="001237B9" w:rsidP="00BD5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4763"/>
      <w:docPartObj>
        <w:docPartGallery w:val="Page Numbers (Bottom of Page)"/>
        <w:docPartUnique/>
      </w:docPartObj>
    </w:sdtPr>
    <w:sdtContent>
      <w:p w:rsidR="00737BB3" w:rsidRDefault="00737BB3">
        <w:pPr>
          <w:pStyle w:val="Footer"/>
          <w:jc w:val="center"/>
        </w:pPr>
        <w:fldSimple w:instr=" PAGE   \* MERGEFORMAT ">
          <w:r w:rsidR="003E1425">
            <w:rPr>
              <w:noProof/>
            </w:rPr>
            <w:t>6</w:t>
          </w:r>
        </w:fldSimple>
      </w:p>
    </w:sdtContent>
  </w:sdt>
  <w:p w:rsidR="00737BB3" w:rsidRDefault="00737B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7B9" w:rsidRDefault="001237B9" w:rsidP="00BD5662">
      <w:r>
        <w:separator/>
      </w:r>
    </w:p>
  </w:footnote>
  <w:footnote w:type="continuationSeparator" w:id="0">
    <w:p w:rsidR="001237B9" w:rsidRDefault="001237B9" w:rsidP="00BD5662">
      <w:r>
        <w:continuationSeparator/>
      </w:r>
    </w:p>
  </w:footnote>
  <w:footnote w:id="1">
    <w:p w:rsidR="00737BB3" w:rsidRDefault="00737BB3" w:rsidP="00153031">
      <w:pPr>
        <w:pStyle w:val="FootnoteText"/>
      </w:pPr>
      <w:r>
        <w:rPr>
          <w:rStyle w:val="FootnoteReference"/>
        </w:rPr>
        <w:footnoteRef/>
      </w:r>
      <w:r>
        <w:t xml:space="preserve"> </w:t>
      </w:r>
      <w:hyperlink r:id="rId1" w:history="1">
        <w:r w:rsidRPr="00DC07A0">
          <w:rPr>
            <w:rStyle w:val="Hyperlink"/>
          </w:rPr>
          <w:t>www.cardiff.ac.uk/socsi/ses2012</w:t>
        </w:r>
      </w:hyperlink>
    </w:p>
  </w:footnote>
  <w:footnote w:id="2">
    <w:p w:rsidR="00737BB3" w:rsidRDefault="00737BB3">
      <w:pPr>
        <w:pStyle w:val="FootnoteText"/>
      </w:pPr>
      <w:r>
        <w:rPr>
          <w:rStyle w:val="FootnoteReference"/>
        </w:rPr>
        <w:footnoteRef/>
      </w:r>
      <w:r>
        <w:t xml:space="preserve"> ESRC project number: </w:t>
      </w:r>
      <w:r w:rsidRPr="00F10129">
        <w:rPr>
          <w:szCs w:val="24"/>
        </w:rPr>
        <w:t>RES-</w:t>
      </w:r>
      <w:r>
        <w:rPr>
          <w:szCs w:val="24"/>
        </w:rPr>
        <w:t>241-25-0001.</w:t>
      </w:r>
    </w:p>
  </w:footnote>
  <w:footnote w:id="3">
    <w:p w:rsidR="00737BB3" w:rsidRDefault="00737BB3" w:rsidP="00E331D7">
      <w:pPr>
        <w:pStyle w:val="FootnoteText"/>
      </w:pPr>
      <w:r>
        <w:rPr>
          <w:rStyle w:val="FootnoteReference"/>
          <w:rFonts w:eastAsiaTheme="majorEastAsia"/>
        </w:rPr>
        <w:footnoteRef/>
      </w:r>
      <w:r>
        <w:t xml:space="preserve"> </w:t>
      </w:r>
      <w:r w:rsidRPr="00D12880">
        <w:rPr>
          <w:rFonts w:cs="Arial"/>
          <w:szCs w:val="22"/>
        </w:rPr>
        <w:t>WISERD is a research centre</w:t>
      </w:r>
      <w:r>
        <w:rPr>
          <w:rFonts w:cs="Arial"/>
          <w:szCs w:val="22"/>
        </w:rPr>
        <w:t xml:space="preserve"> initially</w:t>
      </w:r>
      <w:r w:rsidRPr="00D12880">
        <w:rPr>
          <w:rFonts w:cs="Arial"/>
          <w:szCs w:val="22"/>
        </w:rPr>
        <w:t xml:space="preserve"> funded by the ESRC and the Higher Education Funding Council for Wales (</w:t>
      </w:r>
      <w:hyperlink r:id="rId2" w:history="1">
        <w:r w:rsidRPr="00113476">
          <w:rPr>
            <w:rStyle w:val="Hyperlink"/>
          </w:rPr>
          <w:t>www.wiserd.ac.uk</w:t>
        </w:r>
      </w:hyperlink>
      <w:r>
        <w:t>).  A separate Welsh report will be available in June 2013.</w:t>
      </w:r>
    </w:p>
  </w:footnote>
  <w:footnote w:id="4">
    <w:p w:rsidR="00737BB3" w:rsidRDefault="00737BB3" w:rsidP="00606480">
      <w:pPr>
        <w:pStyle w:val="FootnoteText"/>
        <w:jc w:val="both"/>
      </w:pPr>
      <w:r>
        <w:rPr>
          <w:rStyle w:val="FootnoteReference"/>
        </w:rPr>
        <w:footnoteRef/>
      </w:r>
      <w:r>
        <w:t xml:space="preserve"> Previous weights derived for the 2001, 2000, 1997 and 1992 surveys used the Spring LFS (March-May).  The LFS data were switched to calendar quarters in 2006.  The LFS became quarterly in 1992, so for 1986 the annual release of the LFS continues to be used.</w:t>
      </w:r>
    </w:p>
  </w:footnote>
  <w:footnote w:id="5">
    <w:p w:rsidR="00737BB3" w:rsidRDefault="00737BB3" w:rsidP="00737BB3">
      <w:pPr>
        <w:pStyle w:val="FootnoteText"/>
        <w:jc w:val="both"/>
      </w:pPr>
      <w:r>
        <w:rPr>
          <w:rStyle w:val="FootnoteReference"/>
        </w:rPr>
        <w:footnoteRef/>
      </w:r>
      <w:r>
        <w:t xml:space="preserve"> In May 2014, a number of coding errors were identified in the 4-digit SOC variable for the 2012 survey.  Their correction resulted in changes to the 1-digit coding of SOC on which the weights were based.  Hence</w:t>
      </w:r>
      <w:r w:rsidR="003E1425">
        <w:t xml:space="preserve">, revised datasets were deposited in the Data </w:t>
      </w:r>
      <w:r w:rsidR="003E1425">
        <w:t>Archive</w:t>
      </w:r>
      <w:r>
        <w:t xml:space="preserve"> with updated weights and corrected SOC codes.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C37"/>
    <w:multiLevelType w:val="hybridMultilevel"/>
    <w:tmpl w:val="CA2A6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052C4F"/>
    <w:multiLevelType w:val="hybridMultilevel"/>
    <w:tmpl w:val="E17AADA6"/>
    <w:lvl w:ilvl="0" w:tplc="BDC0DE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8C2FCA"/>
    <w:multiLevelType w:val="hybridMultilevel"/>
    <w:tmpl w:val="48B4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465C4A"/>
    <w:multiLevelType w:val="hybridMultilevel"/>
    <w:tmpl w:val="A954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1641BC"/>
    <w:multiLevelType w:val="hybridMultilevel"/>
    <w:tmpl w:val="F650261A"/>
    <w:lvl w:ilvl="0" w:tplc="6982324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1A25E4"/>
    <w:multiLevelType w:val="hybridMultilevel"/>
    <w:tmpl w:val="AE60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D602FA"/>
    <w:multiLevelType w:val="hybridMultilevel"/>
    <w:tmpl w:val="210E600A"/>
    <w:lvl w:ilvl="0" w:tplc="FC501964">
      <w:start w:val="1"/>
      <w:numFmt w:val="bullet"/>
      <w:lvlText w:val=""/>
      <w:lvlJc w:val="left"/>
      <w:pPr>
        <w:ind w:left="780" w:hanging="360"/>
      </w:pPr>
      <w:rPr>
        <w:rFonts w:ascii="Symbol" w:hAnsi="Symbol" w:hint="default"/>
        <w:b w:val="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35221408"/>
    <w:multiLevelType w:val="hybridMultilevel"/>
    <w:tmpl w:val="4FD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F251A1"/>
    <w:multiLevelType w:val="hybridMultilevel"/>
    <w:tmpl w:val="6BCE386C"/>
    <w:lvl w:ilvl="0" w:tplc="BA9EEF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5E6CA0"/>
    <w:multiLevelType w:val="hybridMultilevel"/>
    <w:tmpl w:val="BDC2338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nsid w:val="4AA01011"/>
    <w:multiLevelType w:val="hybridMultilevel"/>
    <w:tmpl w:val="4306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010EA0"/>
    <w:multiLevelType w:val="hybridMultilevel"/>
    <w:tmpl w:val="D650564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nsid w:val="5E7D1D81"/>
    <w:multiLevelType w:val="hybridMultilevel"/>
    <w:tmpl w:val="4ADA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191003"/>
    <w:multiLevelType w:val="hybridMultilevel"/>
    <w:tmpl w:val="EA7634AA"/>
    <w:lvl w:ilvl="0" w:tplc="AE581B6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FDF019A"/>
    <w:multiLevelType w:val="hybridMultilevel"/>
    <w:tmpl w:val="65224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6"/>
  </w:num>
  <w:num w:numId="4">
    <w:abstractNumId w:val="2"/>
  </w:num>
  <w:num w:numId="5">
    <w:abstractNumId w:val="10"/>
  </w:num>
  <w:num w:numId="6">
    <w:abstractNumId w:val="12"/>
  </w:num>
  <w:num w:numId="7">
    <w:abstractNumId w:val="1"/>
  </w:num>
  <w:num w:numId="8">
    <w:abstractNumId w:val="4"/>
  </w:num>
  <w:num w:numId="9">
    <w:abstractNumId w:val="8"/>
  </w:num>
  <w:num w:numId="10">
    <w:abstractNumId w:val="5"/>
  </w:num>
  <w:num w:numId="11">
    <w:abstractNumId w:val="0"/>
  </w:num>
  <w:num w:numId="12">
    <w:abstractNumId w:val="9"/>
  </w:num>
  <w:num w:numId="13">
    <w:abstractNumId w:val="11"/>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93CB9"/>
    <w:rsid w:val="0000023D"/>
    <w:rsid w:val="00001D1E"/>
    <w:rsid w:val="000021BF"/>
    <w:rsid w:val="00002A14"/>
    <w:rsid w:val="000033E3"/>
    <w:rsid w:val="0000418D"/>
    <w:rsid w:val="000067B2"/>
    <w:rsid w:val="0000699C"/>
    <w:rsid w:val="00006F80"/>
    <w:rsid w:val="000072BC"/>
    <w:rsid w:val="00010902"/>
    <w:rsid w:val="00010C7F"/>
    <w:rsid w:val="0001103F"/>
    <w:rsid w:val="000111FC"/>
    <w:rsid w:val="00011698"/>
    <w:rsid w:val="00011ADF"/>
    <w:rsid w:val="00012C19"/>
    <w:rsid w:val="000141DC"/>
    <w:rsid w:val="00014E7A"/>
    <w:rsid w:val="000178A4"/>
    <w:rsid w:val="00017C62"/>
    <w:rsid w:val="000200F0"/>
    <w:rsid w:val="000212EB"/>
    <w:rsid w:val="0002379D"/>
    <w:rsid w:val="00023FE7"/>
    <w:rsid w:val="0002486B"/>
    <w:rsid w:val="00024F27"/>
    <w:rsid w:val="00025849"/>
    <w:rsid w:val="00025F8D"/>
    <w:rsid w:val="000264A9"/>
    <w:rsid w:val="000267C2"/>
    <w:rsid w:val="00027C11"/>
    <w:rsid w:val="00027C46"/>
    <w:rsid w:val="000306C7"/>
    <w:rsid w:val="00031CB4"/>
    <w:rsid w:val="00032196"/>
    <w:rsid w:val="0003237E"/>
    <w:rsid w:val="0003336C"/>
    <w:rsid w:val="00033B11"/>
    <w:rsid w:val="00034066"/>
    <w:rsid w:val="000360EA"/>
    <w:rsid w:val="00036936"/>
    <w:rsid w:val="00040658"/>
    <w:rsid w:val="000410F1"/>
    <w:rsid w:val="0004188D"/>
    <w:rsid w:val="00041E4A"/>
    <w:rsid w:val="00042511"/>
    <w:rsid w:val="00042D87"/>
    <w:rsid w:val="00043181"/>
    <w:rsid w:val="0004350C"/>
    <w:rsid w:val="00044901"/>
    <w:rsid w:val="00045299"/>
    <w:rsid w:val="000457CB"/>
    <w:rsid w:val="00045BCC"/>
    <w:rsid w:val="0004617B"/>
    <w:rsid w:val="00047423"/>
    <w:rsid w:val="00047589"/>
    <w:rsid w:val="0004760E"/>
    <w:rsid w:val="00047637"/>
    <w:rsid w:val="00047B22"/>
    <w:rsid w:val="00047EA3"/>
    <w:rsid w:val="0005110D"/>
    <w:rsid w:val="00051A10"/>
    <w:rsid w:val="00051E5C"/>
    <w:rsid w:val="00052915"/>
    <w:rsid w:val="00052E62"/>
    <w:rsid w:val="000531B2"/>
    <w:rsid w:val="00053C15"/>
    <w:rsid w:val="000546D7"/>
    <w:rsid w:val="00054D88"/>
    <w:rsid w:val="0005505E"/>
    <w:rsid w:val="000555D1"/>
    <w:rsid w:val="00056C1B"/>
    <w:rsid w:val="00056C23"/>
    <w:rsid w:val="00057CD1"/>
    <w:rsid w:val="000602B8"/>
    <w:rsid w:val="00060312"/>
    <w:rsid w:val="0006037D"/>
    <w:rsid w:val="00060DE9"/>
    <w:rsid w:val="00062B93"/>
    <w:rsid w:val="000647DE"/>
    <w:rsid w:val="00065353"/>
    <w:rsid w:val="000653E5"/>
    <w:rsid w:val="00065949"/>
    <w:rsid w:val="000663AC"/>
    <w:rsid w:val="00066452"/>
    <w:rsid w:val="00066957"/>
    <w:rsid w:val="00067E51"/>
    <w:rsid w:val="00070AAC"/>
    <w:rsid w:val="0007105D"/>
    <w:rsid w:val="000718AA"/>
    <w:rsid w:val="000723E7"/>
    <w:rsid w:val="00072B9A"/>
    <w:rsid w:val="0007385A"/>
    <w:rsid w:val="000738A2"/>
    <w:rsid w:val="0007465F"/>
    <w:rsid w:val="0007467B"/>
    <w:rsid w:val="00074798"/>
    <w:rsid w:val="00074EB4"/>
    <w:rsid w:val="00074F28"/>
    <w:rsid w:val="0007527B"/>
    <w:rsid w:val="000763DE"/>
    <w:rsid w:val="00080875"/>
    <w:rsid w:val="00081619"/>
    <w:rsid w:val="000820E7"/>
    <w:rsid w:val="000823DB"/>
    <w:rsid w:val="00083018"/>
    <w:rsid w:val="00083537"/>
    <w:rsid w:val="00085A03"/>
    <w:rsid w:val="00085E9E"/>
    <w:rsid w:val="000861D8"/>
    <w:rsid w:val="00086256"/>
    <w:rsid w:val="00086377"/>
    <w:rsid w:val="000866F8"/>
    <w:rsid w:val="0009043F"/>
    <w:rsid w:val="00090518"/>
    <w:rsid w:val="00092768"/>
    <w:rsid w:val="000929D0"/>
    <w:rsid w:val="00092B9A"/>
    <w:rsid w:val="00092ED5"/>
    <w:rsid w:val="00093073"/>
    <w:rsid w:val="00093DF7"/>
    <w:rsid w:val="0009438C"/>
    <w:rsid w:val="000953FE"/>
    <w:rsid w:val="0009570A"/>
    <w:rsid w:val="000A04F7"/>
    <w:rsid w:val="000A0FDD"/>
    <w:rsid w:val="000A1E9A"/>
    <w:rsid w:val="000A28AA"/>
    <w:rsid w:val="000A2B2B"/>
    <w:rsid w:val="000A2DDB"/>
    <w:rsid w:val="000A40C5"/>
    <w:rsid w:val="000A4FFD"/>
    <w:rsid w:val="000A708E"/>
    <w:rsid w:val="000A7637"/>
    <w:rsid w:val="000A7CE4"/>
    <w:rsid w:val="000B0217"/>
    <w:rsid w:val="000B0693"/>
    <w:rsid w:val="000B0A07"/>
    <w:rsid w:val="000B17B6"/>
    <w:rsid w:val="000B235B"/>
    <w:rsid w:val="000B3A61"/>
    <w:rsid w:val="000B3B1D"/>
    <w:rsid w:val="000B3C18"/>
    <w:rsid w:val="000B47AE"/>
    <w:rsid w:val="000B4DE8"/>
    <w:rsid w:val="000B5B35"/>
    <w:rsid w:val="000B6260"/>
    <w:rsid w:val="000B640F"/>
    <w:rsid w:val="000B6E21"/>
    <w:rsid w:val="000C02C2"/>
    <w:rsid w:val="000C14D6"/>
    <w:rsid w:val="000C18FA"/>
    <w:rsid w:val="000C1A54"/>
    <w:rsid w:val="000C1CB2"/>
    <w:rsid w:val="000C2389"/>
    <w:rsid w:val="000C2561"/>
    <w:rsid w:val="000C52AA"/>
    <w:rsid w:val="000C5C69"/>
    <w:rsid w:val="000C6073"/>
    <w:rsid w:val="000C700C"/>
    <w:rsid w:val="000C7145"/>
    <w:rsid w:val="000C7520"/>
    <w:rsid w:val="000C75AD"/>
    <w:rsid w:val="000C7EF9"/>
    <w:rsid w:val="000D02DC"/>
    <w:rsid w:val="000D03D1"/>
    <w:rsid w:val="000D0906"/>
    <w:rsid w:val="000D1CC1"/>
    <w:rsid w:val="000D4B45"/>
    <w:rsid w:val="000D4D5F"/>
    <w:rsid w:val="000D5171"/>
    <w:rsid w:val="000D5C05"/>
    <w:rsid w:val="000D5DD0"/>
    <w:rsid w:val="000D66DB"/>
    <w:rsid w:val="000D683A"/>
    <w:rsid w:val="000D778A"/>
    <w:rsid w:val="000D77B0"/>
    <w:rsid w:val="000E1726"/>
    <w:rsid w:val="000E2E9B"/>
    <w:rsid w:val="000E40F6"/>
    <w:rsid w:val="000E6428"/>
    <w:rsid w:val="000E6833"/>
    <w:rsid w:val="000E7151"/>
    <w:rsid w:val="000E735F"/>
    <w:rsid w:val="000F05A5"/>
    <w:rsid w:val="000F158B"/>
    <w:rsid w:val="000F1851"/>
    <w:rsid w:val="000F1A24"/>
    <w:rsid w:val="000F1BA0"/>
    <w:rsid w:val="000F311D"/>
    <w:rsid w:val="000F3828"/>
    <w:rsid w:val="000F453A"/>
    <w:rsid w:val="000F4C6D"/>
    <w:rsid w:val="000F4C70"/>
    <w:rsid w:val="000F4C8F"/>
    <w:rsid w:val="000F62C4"/>
    <w:rsid w:val="000F6E3E"/>
    <w:rsid w:val="000F71BE"/>
    <w:rsid w:val="000F78AB"/>
    <w:rsid w:val="00101278"/>
    <w:rsid w:val="00101764"/>
    <w:rsid w:val="001050A2"/>
    <w:rsid w:val="00105C7F"/>
    <w:rsid w:val="00107450"/>
    <w:rsid w:val="001106A0"/>
    <w:rsid w:val="001106D3"/>
    <w:rsid w:val="00111418"/>
    <w:rsid w:val="0011338A"/>
    <w:rsid w:val="001133CC"/>
    <w:rsid w:val="001133EE"/>
    <w:rsid w:val="00114936"/>
    <w:rsid w:val="001155AA"/>
    <w:rsid w:val="0011626B"/>
    <w:rsid w:val="00116AA3"/>
    <w:rsid w:val="0011772A"/>
    <w:rsid w:val="00117BC1"/>
    <w:rsid w:val="00120BBF"/>
    <w:rsid w:val="00120E79"/>
    <w:rsid w:val="0012298B"/>
    <w:rsid w:val="0012355D"/>
    <w:rsid w:val="001237B9"/>
    <w:rsid w:val="00124175"/>
    <w:rsid w:val="001241BD"/>
    <w:rsid w:val="00124738"/>
    <w:rsid w:val="00124A93"/>
    <w:rsid w:val="00124AB4"/>
    <w:rsid w:val="00124F66"/>
    <w:rsid w:val="0012516B"/>
    <w:rsid w:val="00125B0A"/>
    <w:rsid w:val="00125D53"/>
    <w:rsid w:val="00127E1F"/>
    <w:rsid w:val="00130E9A"/>
    <w:rsid w:val="001316D6"/>
    <w:rsid w:val="00131E1A"/>
    <w:rsid w:val="00131F96"/>
    <w:rsid w:val="0013239D"/>
    <w:rsid w:val="00132C0C"/>
    <w:rsid w:val="001334B5"/>
    <w:rsid w:val="001349B6"/>
    <w:rsid w:val="00135056"/>
    <w:rsid w:val="00135065"/>
    <w:rsid w:val="001354A7"/>
    <w:rsid w:val="00135B45"/>
    <w:rsid w:val="0013708A"/>
    <w:rsid w:val="001377A9"/>
    <w:rsid w:val="00140E8D"/>
    <w:rsid w:val="00142E18"/>
    <w:rsid w:val="00143105"/>
    <w:rsid w:val="001433A5"/>
    <w:rsid w:val="00146AD8"/>
    <w:rsid w:val="00151029"/>
    <w:rsid w:val="00153031"/>
    <w:rsid w:val="001541A1"/>
    <w:rsid w:val="001541F4"/>
    <w:rsid w:val="00154470"/>
    <w:rsid w:val="001550A9"/>
    <w:rsid w:val="001575CC"/>
    <w:rsid w:val="001577A0"/>
    <w:rsid w:val="00162F19"/>
    <w:rsid w:val="001654DE"/>
    <w:rsid w:val="00166026"/>
    <w:rsid w:val="0016657C"/>
    <w:rsid w:val="001672BE"/>
    <w:rsid w:val="001673EB"/>
    <w:rsid w:val="00167CE3"/>
    <w:rsid w:val="00167D16"/>
    <w:rsid w:val="00171849"/>
    <w:rsid w:val="0017245B"/>
    <w:rsid w:val="001730B3"/>
    <w:rsid w:val="00173C58"/>
    <w:rsid w:val="001743C2"/>
    <w:rsid w:val="0017530A"/>
    <w:rsid w:val="00175777"/>
    <w:rsid w:val="00176834"/>
    <w:rsid w:val="00176CCE"/>
    <w:rsid w:val="00180301"/>
    <w:rsid w:val="00180677"/>
    <w:rsid w:val="001838E7"/>
    <w:rsid w:val="001839A6"/>
    <w:rsid w:val="0018414B"/>
    <w:rsid w:val="00184937"/>
    <w:rsid w:val="00184CA9"/>
    <w:rsid w:val="00186460"/>
    <w:rsid w:val="001864F6"/>
    <w:rsid w:val="001872E0"/>
    <w:rsid w:val="001903A2"/>
    <w:rsid w:val="001906A0"/>
    <w:rsid w:val="00190888"/>
    <w:rsid w:val="00190EA3"/>
    <w:rsid w:val="0019213F"/>
    <w:rsid w:val="0019291B"/>
    <w:rsid w:val="00192D28"/>
    <w:rsid w:val="0019340F"/>
    <w:rsid w:val="00194DC0"/>
    <w:rsid w:val="00194F1C"/>
    <w:rsid w:val="001955F0"/>
    <w:rsid w:val="001958A1"/>
    <w:rsid w:val="00196D65"/>
    <w:rsid w:val="0019718F"/>
    <w:rsid w:val="0019728D"/>
    <w:rsid w:val="0019767D"/>
    <w:rsid w:val="001A0471"/>
    <w:rsid w:val="001A0ACA"/>
    <w:rsid w:val="001A0D60"/>
    <w:rsid w:val="001A1225"/>
    <w:rsid w:val="001A18E7"/>
    <w:rsid w:val="001A1A20"/>
    <w:rsid w:val="001A1A66"/>
    <w:rsid w:val="001A31D7"/>
    <w:rsid w:val="001A4518"/>
    <w:rsid w:val="001A5AF8"/>
    <w:rsid w:val="001A5B78"/>
    <w:rsid w:val="001B095A"/>
    <w:rsid w:val="001B0F21"/>
    <w:rsid w:val="001B102E"/>
    <w:rsid w:val="001B180B"/>
    <w:rsid w:val="001B1E9E"/>
    <w:rsid w:val="001B288E"/>
    <w:rsid w:val="001B2D32"/>
    <w:rsid w:val="001B2DA8"/>
    <w:rsid w:val="001B3AC1"/>
    <w:rsid w:val="001B4530"/>
    <w:rsid w:val="001B5C1E"/>
    <w:rsid w:val="001B6883"/>
    <w:rsid w:val="001B70E2"/>
    <w:rsid w:val="001B71B8"/>
    <w:rsid w:val="001B752B"/>
    <w:rsid w:val="001B783A"/>
    <w:rsid w:val="001C06DC"/>
    <w:rsid w:val="001C0888"/>
    <w:rsid w:val="001C265C"/>
    <w:rsid w:val="001C2712"/>
    <w:rsid w:val="001C299F"/>
    <w:rsid w:val="001C341F"/>
    <w:rsid w:val="001C3880"/>
    <w:rsid w:val="001C3A6A"/>
    <w:rsid w:val="001C54F4"/>
    <w:rsid w:val="001C5631"/>
    <w:rsid w:val="001C58BF"/>
    <w:rsid w:val="001C5A7F"/>
    <w:rsid w:val="001C61E4"/>
    <w:rsid w:val="001C77EA"/>
    <w:rsid w:val="001D0AB9"/>
    <w:rsid w:val="001D0AD8"/>
    <w:rsid w:val="001D12F3"/>
    <w:rsid w:val="001D227F"/>
    <w:rsid w:val="001D29A7"/>
    <w:rsid w:val="001D2FAF"/>
    <w:rsid w:val="001D3421"/>
    <w:rsid w:val="001D3D8F"/>
    <w:rsid w:val="001D4A75"/>
    <w:rsid w:val="001D6535"/>
    <w:rsid w:val="001D6670"/>
    <w:rsid w:val="001D6ECE"/>
    <w:rsid w:val="001D798C"/>
    <w:rsid w:val="001D7D52"/>
    <w:rsid w:val="001E097D"/>
    <w:rsid w:val="001E14B9"/>
    <w:rsid w:val="001E14FD"/>
    <w:rsid w:val="001E1E72"/>
    <w:rsid w:val="001E2508"/>
    <w:rsid w:val="001E3583"/>
    <w:rsid w:val="001E3685"/>
    <w:rsid w:val="001E3B91"/>
    <w:rsid w:val="001E4B98"/>
    <w:rsid w:val="001E541F"/>
    <w:rsid w:val="001E55C1"/>
    <w:rsid w:val="001E5C5C"/>
    <w:rsid w:val="001E676F"/>
    <w:rsid w:val="001E7D99"/>
    <w:rsid w:val="001F1047"/>
    <w:rsid w:val="001F2C4D"/>
    <w:rsid w:val="001F3616"/>
    <w:rsid w:val="001F36C7"/>
    <w:rsid w:val="001F5315"/>
    <w:rsid w:val="001F5408"/>
    <w:rsid w:val="001F5FA7"/>
    <w:rsid w:val="001F6478"/>
    <w:rsid w:val="0020058A"/>
    <w:rsid w:val="00201316"/>
    <w:rsid w:val="002013A4"/>
    <w:rsid w:val="00202C9D"/>
    <w:rsid w:val="00203354"/>
    <w:rsid w:val="00203DDA"/>
    <w:rsid w:val="002047D3"/>
    <w:rsid w:val="00205644"/>
    <w:rsid w:val="00205792"/>
    <w:rsid w:val="00205F7B"/>
    <w:rsid w:val="002071C4"/>
    <w:rsid w:val="002071CB"/>
    <w:rsid w:val="00210075"/>
    <w:rsid w:val="0021184C"/>
    <w:rsid w:val="00211A91"/>
    <w:rsid w:val="00212914"/>
    <w:rsid w:val="00213E57"/>
    <w:rsid w:val="0021465A"/>
    <w:rsid w:val="00216178"/>
    <w:rsid w:val="0021698D"/>
    <w:rsid w:val="00216B29"/>
    <w:rsid w:val="00216C0E"/>
    <w:rsid w:val="00217739"/>
    <w:rsid w:val="00217EE9"/>
    <w:rsid w:val="002211BC"/>
    <w:rsid w:val="00221951"/>
    <w:rsid w:val="00221A03"/>
    <w:rsid w:val="00222571"/>
    <w:rsid w:val="002228E6"/>
    <w:rsid w:val="00222B98"/>
    <w:rsid w:val="002247C1"/>
    <w:rsid w:val="002251D8"/>
    <w:rsid w:val="00225740"/>
    <w:rsid w:val="002262A6"/>
    <w:rsid w:val="0022744F"/>
    <w:rsid w:val="0023064D"/>
    <w:rsid w:val="00230855"/>
    <w:rsid w:val="00232B94"/>
    <w:rsid w:val="002331CC"/>
    <w:rsid w:val="00234203"/>
    <w:rsid w:val="00234739"/>
    <w:rsid w:val="002348E0"/>
    <w:rsid w:val="002348F1"/>
    <w:rsid w:val="00235317"/>
    <w:rsid w:val="00235447"/>
    <w:rsid w:val="00235B55"/>
    <w:rsid w:val="002367D9"/>
    <w:rsid w:val="00237EC4"/>
    <w:rsid w:val="00240946"/>
    <w:rsid w:val="00240B1E"/>
    <w:rsid w:val="00240C46"/>
    <w:rsid w:val="00243015"/>
    <w:rsid w:val="00243CC9"/>
    <w:rsid w:val="002442E0"/>
    <w:rsid w:val="002446F6"/>
    <w:rsid w:val="00244840"/>
    <w:rsid w:val="002449FF"/>
    <w:rsid w:val="002455EE"/>
    <w:rsid w:val="00246F01"/>
    <w:rsid w:val="00246F74"/>
    <w:rsid w:val="002476E8"/>
    <w:rsid w:val="00247884"/>
    <w:rsid w:val="0025010B"/>
    <w:rsid w:val="002509C6"/>
    <w:rsid w:val="00250D59"/>
    <w:rsid w:val="002525BF"/>
    <w:rsid w:val="00252DCF"/>
    <w:rsid w:val="00253869"/>
    <w:rsid w:val="00254FD0"/>
    <w:rsid w:val="00256339"/>
    <w:rsid w:val="002563FF"/>
    <w:rsid w:val="002566AA"/>
    <w:rsid w:val="00256CAA"/>
    <w:rsid w:val="00257405"/>
    <w:rsid w:val="00260F36"/>
    <w:rsid w:val="002610AA"/>
    <w:rsid w:val="00261A5B"/>
    <w:rsid w:val="00264442"/>
    <w:rsid w:val="002646B0"/>
    <w:rsid w:val="00266798"/>
    <w:rsid w:val="00266DC3"/>
    <w:rsid w:val="00267E63"/>
    <w:rsid w:val="00271475"/>
    <w:rsid w:val="00274509"/>
    <w:rsid w:val="00274A87"/>
    <w:rsid w:val="00274C04"/>
    <w:rsid w:val="00274D96"/>
    <w:rsid w:val="002775C5"/>
    <w:rsid w:val="002806CA"/>
    <w:rsid w:val="002807B9"/>
    <w:rsid w:val="0028097B"/>
    <w:rsid w:val="00281E64"/>
    <w:rsid w:val="00281FED"/>
    <w:rsid w:val="00282DD4"/>
    <w:rsid w:val="002833CF"/>
    <w:rsid w:val="00283924"/>
    <w:rsid w:val="00283A20"/>
    <w:rsid w:val="00284203"/>
    <w:rsid w:val="002853CA"/>
    <w:rsid w:val="00285917"/>
    <w:rsid w:val="00285DC0"/>
    <w:rsid w:val="00286913"/>
    <w:rsid w:val="00287C76"/>
    <w:rsid w:val="00287F5F"/>
    <w:rsid w:val="00287F78"/>
    <w:rsid w:val="0029041A"/>
    <w:rsid w:val="002908D9"/>
    <w:rsid w:val="00290E30"/>
    <w:rsid w:val="002911C1"/>
    <w:rsid w:val="00291A07"/>
    <w:rsid w:val="00293063"/>
    <w:rsid w:val="0029367E"/>
    <w:rsid w:val="00294CB8"/>
    <w:rsid w:val="002967F9"/>
    <w:rsid w:val="00297E06"/>
    <w:rsid w:val="002A083A"/>
    <w:rsid w:val="002A0DF3"/>
    <w:rsid w:val="002A0FEF"/>
    <w:rsid w:val="002A1814"/>
    <w:rsid w:val="002A1907"/>
    <w:rsid w:val="002A1BDD"/>
    <w:rsid w:val="002A205C"/>
    <w:rsid w:val="002A24E1"/>
    <w:rsid w:val="002A2758"/>
    <w:rsid w:val="002A33F0"/>
    <w:rsid w:val="002A4969"/>
    <w:rsid w:val="002A5A46"/>
    <w:rsid w:val="002A6440"/>
    <w:rsid w:val="002A64E4"/>
    <w:rsid w:val="002A66B2"/>
    <w:rsid w:val="002A748F"/>
    <w:rsid w:val="002A7F6F"/>
    <w:rsid w:val="002B1D8D"/>
    <w:rsid w:val="002B30AB"/>
    <w:rsid w:val="002B3139"/>
    <w:rsid w:val="002B3C59"/>
    <w:rsid w:val="002B44AF"/>
    <w:rsid w:val="002B47E7"/>
    <w:rsid w:val="002B5066"/>
    <w:rsid w:val="002B537E"/>
    <w:rsid w:val="002B5CCA"/>
    <w:rsid w:val="002B62DF"/>
    <w:rsid w:val="002B6B9A"/>
    <w:rsid w:val="002B721F"/>
    <w:rsid w:val="002B7C16"/>
    <w:rsid w:val="002C057A"/>
    <w:rsid w:val="002C14B5"/>
    <w:rsid w:val="002C1584"/>
    <w:rsid w:val="002C16C7"/>
    <w:rsid w:val="002C1D19"/>
    <w:rsid w:val="002C2044"/>
    <w:rsid w:val="002C2369"/>
    <w:rsid w:val="002C4FE6"/>
    <w:rsid w:val="002C51E0"/>
    <w:rsid w:val="002C5CB7"/>
    <w:rsid w:val="002C64C9"/>
    <w:rsid w:val="002C7231"/>
    <w:rsid w:val="002D04A4"/>
    <w:rsid w:val="002D1B66"/>
    <w:rsid w:val="002D26CD"/>
    <w:rsid w:val="002D2C2F"/>
    <w:rsid w:val="002D3459"/>
    <w:rsid w:val="002D3F36"/>
    <w:rsid w:val="002D477F"/>
    <w:rsid w:val="002D5236"/>
    <w:rsid w:val="002D6377"/>
    <w:rsid w:val="002D66DF"/>
    <w:rsid w:val="002E08BD"/>
    <w:rsid w:val="002E0CDE"/>
    <w:rsid w:val="002E0D3D"/>
    <w:rsid w:val="002E1B4D"/>
    <w:rsid w:val="002E3DEC"/>
    <w:rsid w:val="002E3ECD"/>
    <w:rsid w:val="002E40F4"/>
    <w:rsid w:val="002E443D"/>
    <w:rsid w:val="002E4D58"/>
    <w:rsid w:val="002E5154"/>
    <w:rsid w:val="002E6D5C"/>
    <w:rsid w:val="002E6F66"/>
    <w:rsid w:val="002E7140"/>
    <w:rsid w:val="002E7318"/>
    <w:rsid w:val="002E732D"/>
    <w:rsid w:val="002E7A7E"/>
    <w:rsid w:val="002E7D8E"/>
    <w:rsid w:val="002E7FE1"/>
    <w:rsid w:val="002F03BD"/>
    <w:rsid w:val="002F0B85"/>
    <w:rsid w:val="002F2715"/>
    <w:rsid w:val="002F2E10"/>
    <w:rsid w:val="002F3658"/>
    <w:rsid w:val="002F4B6A"/>
    <w:rsid w:val="002F4CB4"/>
    <w:rsid w:val="002F7467"/>
    <w:rsid w:val="002F753A"/>
    <w:rsid w:val="002F7B30"/>
    <w:rsid w:val="00300437"/>
    <w:rsid w:val="0030063A"/>
    <w:rsid w:val="00300C76"/>
    <w:rsid w:val="00300CB4"/>
    <w:rsid w:val="00301265"/>
    <w:rsid w:val="0030126E"/>
    <w:rsid w:val="00301E08"/>
    <w:rsid w:val="0030267C"/>
    <w:rsid w:val="003079CE"/>
    <w:rsid w:val="00307BEC"/>
    <w:rsid w:val="00307D48"/>
    <w:rsid w:val="00307EE7"/>
    <w:rsid w:val="00310D0A"/>
    <w:rsid w:val="00311011"/>
    <w:rsid w:val="003117C1"/>
    <w:rsid w:val="0031478F"/>
    <w:rsid w:val="00314925"/>
    <w:rsid w:val="0031560D"/>
    <w:rsid w:val="00317402"/>
    <w:rsid w:val="0031758A"/>
    <w:rsid w:val="003201DA"/>
    <w:rsid w:val="00320386"/>
    <w:rsid w:val="00320CEF"/>
    <w:rsid w:val="00321205"/>
    <w:rsid w:val="003214F7"/>
    <w:rsid w:val="003225DA"/>
    <w:rsid w:val="0032293B"/>
    <w:rsid w:val="00325286"/>
    <w:rsid w:val="003257E4"/>
    <w:rsid w:val="00325F46"/>
    <w:rsid w:val="00326487"/>
    <w:rsid w:val="003265F2"/>
    <w:rsid w:val="00326A30"/>
    <w:rsid w:val="00326E2A"/>
    <w:rsid w:val="0032729F"/>
    <w:rsid w:val="0032788C"/>
    <w:rsid w:val="00330512"/>
    <w:rsid w:val="003309AE"/>
    <w:rsid w:val="00330C0C"/>
    <w:rsid w:val="00330C68"/>
    <w:rsid w:val="00330EA5"/>
    <w:rsid w:val="003330E6"/>
    <w:rsid w:val="00333136"/>
    <w:rsid w:val="003331D1"/>
    <w:rsid w:val="003337EA"/>
    <w:rsid w:val="003338D3"/>
    <w:rsid w:val="00333924"/>
    <w:rsid w:val="0033398B"/>
    <w:rsid w:val="0033477E"/>
    <w:rsid w:val="00334D42"/>
    <w:rsid w:val="003351E0"/>
    <w:rsid w:val="003376D1"/>
    <w:rsid w:val="003378B9"/>
    <w:rsid w:val="00337B4B"/>
    <w:rsid w:val="00341104"/>
    <w:rsid w:val="0034130C"/>
    <w:rsid w:val="00341963"/>
    <w:rsid w:val="00342E38"/>
    <w:rsid w:val="003430A0"/>
    <w:rsid w:val="00343821"/>
    <w:rsid w:val="0034451B"/>
    <w:rsid w:val="003448D4"/>
    <w:rsid w:val="00345541"/>
    <w:rsid w:val="00345CDD"/>
    <w:rsid w:val="0034610D"/>
    <w:rsid w:val="003469C4"/>
    <w:rsid w:val="00346D04"/>
    <w:rsid w:val="0034790D"/>
    <w:rsid w:val="00347F54"/>
    <w:rsid w:val="0035028A"/>
    <w:rsid w:val="00351442"/>
    <w:rsid w:val="0035227B"/>
    <w:rsid w:val="00352C0A"/>
    <w:rsid w:val="00353991"/>
    <w:rsid w:val="00353F06"/>
    <w:rsid w:val="003542F4"/>
    <w:rsid w:val="00354FB3"/>
    <w:rsid w:val="00356155"/>
    <w:rsid w:val="00356CF3"/>
    <w:rsid w:val="00357104"/>
    <w:rsid w:val="00357A10"/>
    <w:rsid w:val="00362063"/>
    <w:rsid w:val="003620F9"/>
    <w:rsid w:val="0036352F"/>
    <w:rsid w:val="0036364D"/>
    <w:rsid w:val="00365062"/>
    <w:rsid w:val="003659E0"/>
    <w:rsid w:val="00365ADA"/>
    <w:rsid w:val="00366101"/>
    <w:rsid w:val="003663D7"/>
    <w:rsid w:val="00367EC0"/>
    <w:rsid w:val="00370B56"/>
    <w:rsid w:val="00370BDE"/>
    <w:rsid w:val="00370FE7"/>
    <w:rsid w:val="0037157A"/>
    <w:rsid w:val="00371698"/>
    <w:rsid w:val="00371B72"/>
    <w:rsid w:val="00371C9C"/>
    <w:rsid w:val="00372D42"/>
    <w:rsid w:val="003738C3"/>
    <w:rsid w:val="0037409A"/>
    <w:rsid w:val="003745F9"/>
    <w:rsid w:val="0037554A"/>
    <w:rsid w:val="0037665F"/>
    <w:rsid w:val="00376B56"/>
    <w:rsid w:val="00377C90"/>
    <w:rsid w:val="00377D8C"/>
    <w:rsid w:val="00380EBE"/>
    <w:rsid w:val="0038107E"/>
    <w:rsid w:val="003821C6"/>
    <w:rsid w:val="00383F17"/>
    <w:rsid w:val="0038516C"/>
    <w:rsid w:val="0039070A"/>
    <w:rsid w:val="00390F80"/>
    <w:rsid w:val="00392078"/>
    <w:rsid w:val="003921E7"/>
    <w:rsid w:val="0039244C"/>
    <w:rsid w:val="00393772"/>
    <w:rsid w:val="0039417A"/>
    <w:rsid w:val="00394FB5"/>
    <w:rsid w:val="00396686"/>
    <w:rsid w:val="00396E51"/>
    <w:rsid w:val="00397169"/>
    <w:rsid w:val="00397907"/>
    <w:rsid w:val="00397A79"/>
    <w:rsid w:val="00397E52"/>
    <w:rsid w:val="00397F41"/>
    <w:rsid w:val="003A1CD9"/>
    <w:rsid w:val="003A2125"/>
    <w:rsid w:val="003A24E9"/>
    <w:rsid w:val="003A4F31"/>
    <w:rsid w:val="003A587D"/>
    <w:rsid w:val="003A5911"/>
    <w:rsid w:val="003A6107"/>
    <w:rsid w:val="003A7709"/>
    <w:rsid w:val="003B0A06"/>
    <w:rsid w:val="003B0BFE"/>
    <w:rsid w:val="003B13FD"/>
    <w:rsid w:val="003B194C"/>
    <w:rsid w:val="003B3D7D"/>
    <w:rsid w:val="003B4715"/>
    <w:rsid w:val="003B5212"/>
    <w:rsid w:val="003B553D"/>
    <w:rsid w:val="003B5916"/>
    <w:rsid w:val="003B5D4B"/>
    <w:rsid w:val="003B642F"/>
    <w:rsid w:val="003B6513"/>
    <w:rsid w:val="003B7045"/>
    <w:rsid w:val="003B72DF"/>
    <w:rsid w:val="003B7641"/>
    <w:rsid w:val="003B7A4E"/>
    <w:rsid w:val="003B7CD0"/>
    <w:rsid w:val="003C0092"/>
    <w:rsid w:val="003C0AA1"/>
    <w:rsid w:val="003C131A"/>
    <w:rsid w:val="003C151C"/>
    <w:rsid w:val="003C1B09"/>
    <w:rsid w:val="003C1EB8"/>
    <w:rsid w:val="003C34A0"/>
    <w:rsid w:val="003C5284"/>
    <w:rsid w:val="003C5C72"/>
    <w:rsid w:val="003C5C7E"/>
    <w:rsid w:val="003D0A67"/>
    <w:rsid w:val="003D0F1D"/>
    <w:rsid w:val="003D1FAC"/>
    <w:rsid w:val="003D3AA4"/>
    <w:rsid w:val="003D54DC"/>
    <w:rsid w:val="003D6444"/>
    <w:rsid w:val="003D713D"/>
    <w:rsid w:val="003D7C24"/>
    <w:rsid w:val="003E0D1D"/>
    <w:rsid w:val="003E111D"/>
    <w:rsid w:val="003E12D0"/>
    <w:rsid w:val="003E1305"/>
    <w:rsid w:val="003E1425"/>
    <w:rsid w:val="003E1727"/>
    <w:rsid w:val="003E17D5"/>
    <w:rsid w:val="003E22C9"/>
    <w:rsid w:val="003E2375"/>
    <w:rsid w:val="003E237F"/>
    <w:rsid w:val="003E3483"/>
    <w:rsid w:val="003E43EA"/>
    <w:rsid w:val="003E5102"/>
    <w:rsid w:val="003E5EC9"/>
    <w:rsid w:val="003E6445"/>
    <w:rsid w:val="003E655E"/>
    <w:rsid w:val="003E65B3"/>
    <w:rsid w:val="003E6B55"/>
    <w:rsid w:val="003E6F09"/>
    <w:rsid w:val="003E6F59"/>
    <w:rsid w:val="003F09E3"/>
    <w:rsid w:val="003F0A6E"/>
    <w:rsid w:val="003F106A"/>
    <w:rsid w:val="003F2740"/>
    <w:rsid w:val="003F28D5"/>
    <w:rsid w:val="003F297C"/>
    <w:rsid w:val="003F547C"/>
    <w:rsid w:val="003F59EF"/>
    <w:rsid w:val="003F5C4B"/>
    <w:rsid w:val="003F638D"/>
    <w:rsid w:val="003F6588"/>
    <w:rsid w:val="003F6F67"/>
    <w:rsid w:val="003F7B50"/>
    <w:rsid w:val="004008A5"/>
    <w:rsid w:val="00400AF2"/>
    <w:rsid w:val="00400EDB"/>
    <w:rsid w:val="00401592"/>
    <w:rsid w:val="00402182"/>
    <w:rsid w:val="0040306A"/>
    <w:rsid w:val="004033CA"/>
    <w:rsid w:val="004046D1"/>
    <w:rsid w:val="00410FA2"/>
    <w:rsid w:val="00411090"/>
    <w:rsid w:val="004110ED"/>
    <w:rsid w:val="0041352F"/>
    <w:rsid w:val="00413952"/>
    <w:rsid w:val="00413B41"/>
    <w:rsid w:val="00413D02"/>
    <w:rsid w:val="004146DA"/>
    <w:rsid w:val="004152F5"/>
    <w:rsid w:val="0041606E"/>
    <w:rsid w:val="00416701"/>
    <w:rsid w:val="00416A63"/>
    <w:rsid w:val="00416ADD"/>
    <w:rsid w:val="00417D25"/>
    <w:rsid w:val="004201D4"/>
    <w:rsid w:val="00421EBD"/>
    <w:rsid w:val="004225AB"/>
    <w:rsid w:val="0042298D"/>
    <w:rsid w:val="00422BDF"/>
    <w:rsid w:val="00423518"/>
    <w:rsid w:val="0042411A"/>
    <w:rsid w:val="00424A09"/>
    <w:rsid w:val="004265A8"/>
    <w:rsid w:val="0042685C"/>
    <w:rsid w:val="00426C25"/>
    <w:rsid w:val="004275F3"/>
    <w:rsid w:val="00427774"/>
    <w:rsid w:val="00427E16"/>
    <w:rsid w:val="0043053F"/>
    <w:rsid w:val="0043099A"/>
    <w:rsid w:val="00431AD9"/>
    <w:rsid w:val="004320A8"/>
    <w:rsid w:val="00432717"/>
    <w:rsid w:val="004343D5"/>
    <w:rsid w:val="00434FFC"/>
    <w:rsid w:val="0043577F"/>
    <w:rsid w:val="0043581F"/>
    <w:rsid w:val="004361C2"/>
    <w:rsid w:val="00436904"/>
    <w:rsid w:val="0043696B"/>
    <w:rsid w:val="00436A1E"/>
    <w:rsid w:val="00436F29"/>
    <w:rsid w:val="00436F34"/>
    <w:rsid w:val="00437361"/>
    <w:rsid w:val="004406C9"/>
    <w:rsid w:val="00441918"/>
    <w:rsid w:val="004425F4"/>
    <w:rsid w:val="00443085"/>
    <w:rsid w:val="00443093"/>
    <w:rsid w:val="00443941"/>
    <w:rsid w:val="00443C63"/>
    <w:rsid w:val="00444838"/>
    <w:rsid w:val="00444A76"/>
    <w:rsid w:val="00444DDD"/>
    <w:rsid w:val="004462D2"/>
    <w:rsid w:val="0044687D"/>
    <w:rsid w:val="00446AD9"/>
    <w:rsid w:val="00446D26"/>
    <w:rsid w:val="0045027F"/>
    <w:rsid w:val="0045113F"/>
    <w:rsid w:val="0045283E"/>
    <w:rsid w:val="00452F88"/>
    <w:rsid w:val="004532B6"/>
    <w:rsid w:val="004532E4"/>
    <w:rsid w:val="00453397"/>
    <w:rsid w:val="00453C61"/>
    <w:rsid w:val="00454CDB"/>
    <w:rsid w:val="0045727C"/>
    <w:rsid w:val="004576E0"/>
    <w:rsid w:val="0045796B"/>
    <w:rsid w:val="004613E3"/>
    <w:rsid w:val="004619A6"/>
    <w:rsid w:val="00461C15"/>
    <w:rsid w:val="00462F7B"/>
    <w:rsid w:val="0046337B"/>
    <w:rsid w:val="0046415C"/>
    <w:rsid w:val="00465417"/>
    <w:rsid w:val="00465BA0"/>
    <w:rsid w:val="004666C2"/>
    <w:rsid w:val="004670FF"/>
    <w:rsid w:val="004673B9"/>
    <w:rsid w:val="00467E0C"/>
    <w:rsid w:val="00470744"/>
    <w:rsid w:val="00470AEE"/>
    <w:rsid w:val="00470DBB"/>
    <w:rsid w:val="00470F41"/>
    <w:rsid w:val="00471096"/>
    <w:rsid w:val="004721C7"/>
    <w:rsid w:val="0047305E"/>
    <w:rsid w:val="00473F07"/>
    <w:rsid w:val="00474379"/>
    <w:rsid w:val="00475BA4"/>
    <w:rsid w:val="00475E4E"/>
    <w:rsid w:val="004761FF"/>
    <w:rsid w:val="00476BE1"/>
    <w:rsid w:val="0047785D"/>
    <w:rsid w:val="00477E27"/>
    <w:rsid w:val="0048117F"/>
    <w:rsid w:val="00482013"/>
    <w:rsid w:val="00482366"/>
    <w:rsid w:val="004826EB"/>
    <w:rsid w:val="00482989"/>
    <w:rsid w:val="00482B9C"/>
    <w:rsid w:val="00483E46"/>
    <w:rsid w:val="004866F4"/>
    <w:rsid w:val="0048676B"/>
    <w:rsid w:val="00486D0D"/>
    <w:rsid w:val="00486D2B"/>
    <w:rsid w:val="00491717"/>
    <w:rsid w:val="0049377B"/>
    <w:rsid w:val="00494160"/>
    <w:rsid w:val="004944C3"/>
    <w:rsid w:val="00494BAA"/>
    <w:rsid w:val="00495B01"/>
    <w:rsid w:val="00495CBD"/>
    <w:rsid w:val="0049609F"/>
    <w:rsid w:val="004965D5"/>
    <w:rsid w:val="00496B03"/>
    <w:rsid w:val="0049709E"/>
    <w:rsid w:val="00497979"/>
    <w:rsid w:val="004A0AF7"/>
    <w:rsid w:val="004A3349"/>
    <w:rsid w:val="004A3628"/>
    <w:rsid w:val="004A3745"/>
    <w:rsid w:val="004A3B9E"/>
    <w:rsid w:val="004A4A29"/>
    <w:rsid w:val="004A4D4F"/>
    <w:rsid w:val="004A4E43"/>
    <w:rsid w:val="004A4ECF"/>
    <w:rsid w:val="004A4F8D"/>
    <w:rsid w:val="004A61B3"/>
    <w:rsid w:val="004A6360"/>
    <w:rsid w:val="004A6D78"/>
    <w:rsid w:val="004A7C4E"/>
    <w:rsid w:val="004B28A7"/>
    <w:rsid w:val="004B4BAF"/>
    <w:rsid w:val="004B557B"/>
    <w:rsid w:val="004B60A5"/>
    <w:rsid w:val="004B6C4E"/>
    <w:rsid w:val="004B6CF1"/>
    <w:rsid w:val="004B6D99"/>
    <w:rsid w:val="004B791B"/>
    <w:rsid w:val="004B7F75"/>
    <w:rsid w:val="004C0057"/>
    <w:rsid w:val="004C02BA"/>
    <w:rsid w:val="004C1012"/>
    <w:rsid w:val="004C17E5"/>
    <w:rsid w:val="004C1C50"/>
    <w:rsid w:val="004C24DE"/>
    <w:rsid w:val="004C28C2"/>
    <w:rsid w:val="004C2ABB"/>
    <w:rsid w:val="004C4A79"/>
    <w:rsid w:val="004C6832"/>
    <w:rsid w:val="004C6E89"/>
    <w:rsid w:val="004C75E7"/>
    <w:rsid w:val="004C76C5"/>
    <w:rsid w:val="004C77C0"/>
    <w:rsid w:val="004C794E"/>
    <w:rsid w:val="004D0B01"/>
    <w:rsid w:val="004D0EEB"/>
    <w:rsid w:val="004D10AB"/>
    <w:rsid w:val="004D26DA"/>
    <w:rsid w:val="004D3206"/>
    <w:rsid w:val="004D3356"/>
    <w:rsid w:val="004D33B2"/>
    <w:rsid w:val="004D33D0"/>
    <w:rsid w:val="004D384E"/>
    <w:rsid w:val="004D5450"/>
    <w:rsid w:val="004D6BF7"/>
    <w:rsid w:val="004D77B1"/>
    <w:rsid w:val="004E0891"/>
    <w:rsid w:val="004E1B3C"/>
    <w:rsid w:val="004E23B6"/>
    <w:rsid w:val="004E2C59"/>
    <w:rsid w:val="004E327A"/>
    <w:rsid w:val="004E33FA"/>
    <w:rsid w:val="004E4624"/>
    <w:rsid w:val="004E6A16"/>
    <w:rsid w:val="004E7AC2"/>
    <w:rsid w:val="004F011C"/>
    <w:rsid w:val="004F0AE9"/>
    <w:rsid w:val="004F0CE4"/>
    <w:rsid w:val="004F0E3F"/>
    <w:rsid w:val="004F276A"/>
    <w:rsid w:val="004F3887"/>
    <w:rsid w:val="004F46C3"/>
    <w:rsid w:val="004F4B65"/>
    <w:rsid w:val="004F567E"/>
    <w:rsid w:val="004F6D6B"/>
    <w:rsid w:val="004F6DBE"/>
    <w:rsid w:val="004F7B6A"/>
    <w:rsid w:val="00501871"/>
    <w:rsid w:val="00501EC5"/>
    <w:rsid w:val="005024AD"/>
    <w:rsid w:val="00503B53"/>
    <w:rsid w:val="00504092"/>
    <w:rsid w:val="005048B4"/>
    <w:rsid w:val="00505772"/>
    <w:rsid w:val="00505CDC"/>
    <w:rsid w:val="0050602E"/>
    <w:rsid w:val="00506374"/>
    <w:rsid w:val="005068DD"/>
    <w:rsid w:val="00506BC3"/>
    <w:rsid w:val="00506D2E"/>
    <w:rsid w:val="0050726C"/>
    <w:rsid w:val="005072E2"/>
    <w:rsid w:val="005112AE"/>
    <w:rsid w:val="005116DE"/>
    <w:rsid w:val="005118CA"/>
    <w:rsid w:val="0051238A"/>
    <w:rsid w:val="00512C74"/>
    <w:rsid w:val="00513D71"/>
    <w:rsid w:val="0051588E"/>
    <w:rsid w:val="0051658A"/>
    <w:rsid w:val="00516FD2"/>
    <w:rsid w:val="0051739D"/>
    <w:rsid w:val="00517BFB"/>
    <w:rsid w:val="00521A26"/>
    <w:rsid w:val="005221CD"/>
    <w:rsid w:val="005239E0"/>
    <w:rsid w:val="00523A3D"/>
    <w:rsid w:val="00523A40"/>
    <w:rsid w:val="00523BB4"/>
    <w:rsid w:val="00523BE1"/>
    <w:rsid w:val="005245DA"/>
    <w:rsid w:val="00524B90"/>
    <w:rsid w:val="00525DF3"/>
    <w:rsid w:val="0052634E"/>
    <w:rsid w:val="00526945"/>
    <w:rsid w:val="00527633"/>
    <w:rsid w:val="00527716"/>
    <w:rsid w:val="0053030F"/>
    <w:rsid w:val="005307A9"/>
    <w:rsid w:val="00530E49"/>
    <w:rsid w:val="00531CE2"/>
    <w:rsid w:val="00531DDF"/>
    <w:rsid w:val="00532973"/>
    <w:rsid w:val="005329D0"/>
    <w:rsid w:val="00534182"/>
    <w:rsid w:val="0053464F"/>
    <w:rsid w:val="00535219"/>
    <w:rsid w:val="00535512"/>
    <w:rsid w:val="00537EBD"/>
    <w:rsid w:val="00541587"/>
    <w:rsid w:val="00542CBA"/>
    <w:rsid w:val="00544A83"/>
    <w:rsid w:val="00547C31"/>
    <w:rsid w:val="00550440"/>
    <w:rsid w:val="00550D02"/>
    <w:rsid w:val="005515FB"/>
    <w:rsid w:val="005516E5"/>
    <w:rsid w:val="00552A27"/>
    <w:rsid w:val="00553BD6"/>
    <w:rsid w:val="005540FC"/>
    <w:rsid w:val="00554F0B"/>
    <w:rsid w:val="00555252"/>
    <w:rsid w:val="00555341"/>
    <w:rsid w:val="005553B9"/>
    <w:rsid w:val="00555882"/>
    <w:rsid w:val="00556C15"/>
    <w:rsid w:val="00560ABA"/>
    <w:rsid w:val="005612E7"/>
    <w:rsid w:val="00561FF7"/>
    <w:rsid w:val="0056241B"/>
    <w:rsid w:val="00564342"/>
    <w:rsid w:val="00564D3B"/>
    <w:rsid w:val="0056595B"/>
    <w:rsid w:val="0056640F"/>
    <w:rsid w:val="0056643F"/>
    <w:rsid w:val="00566E3F"/>
    <w:rsid w:val="00570192"/>
    <w:rsid w:val="00570C95"/>
    <w:rsid w:val="005711BD"/>
    <w:rsid w:val="005712E2"/>
    <w:rsid w:val="00572BD7"/>
    <w:rsid w:val="00573685"/>
    <w:rsid w:val="00573797"/>
    <w:rsid w:val="00573AC1"/>
    <w:rsid w:val="00573C04"/>
    <w:rsid w:val="00573EDC"/>
    <w:rsid w:val="0057400B"/>
    <w:rsid w:val="00574995"/>
    <w:rsid w:val="00574F9C"/>
    <w:rsid w:val="0057535F"/>
    <w:rsid w:val="00575F57"/>
    <w:rsid w:val="00575FD8"/>
    <w:rsid w:val="00580E58"/>
    <w:rsid w:val="00581111"/>
    <w:rsid w:val="005840CD"/>
    <w:rsid w:val="00584597"/>
    <w:rsid w:val="005848A9"/>
    <w:rsid w:val="005852C4"/>
    <w:rsid w:val="005855A1"/>
    <w:rsid w:val="00585602"/>
    <w:rsid w:val="005859DB"/>
    <w:rsid w:val="005867C3"/>
    <w:rsid w:val="00586939"/>
    <w:rsid w:val="00586B2B"/>
    <w:rsid w:val="005872DC"/>
    <w:rsid w:val="00587F58"/>
    <w:rsid w:val="00590025"/>
    <w:rsid w:val="005900D1"/>
    <w:rsid w:val="005903E0"/>
    <w:rsid w:val="00591F88"/>
    <w:rsid w:val="00592767"/>
    <w:rsid w:val="00592A7C"/>
    <w:rsid w:val="00595899"/>
    <w:rsid w:val="005958F5"/>
    <w:rsid w:val="00595DDA"/>
    <w:rsid w:val="00596F2A"/>
    <w:rsid w:val="00597471"/>
    <w:rsid w:val="005975B0"/>
    <w:rsid w:val="00597C34"/>
    <w:rsid w:val="00597F88"/>
    <w:rsid w:val="005A1337"/>
    <w:rsid w:val="005A14DE"/>
    <w:rsid w:val="005A1653"/>
    <w:rsid w:val="005A1700"/>
    <w:rsid w:val="005A1C90"/>
    <w:rsid w:val="005A1E72"/>
    <w:rsid w:val="005A244A"/>
    <w:rsid w:val="005A39B8"/>
    <w:rsid w:val="005A494C"/>
    <w:rsid w:val="005A6503"/>
    <w:rsid w:val="005B18BC"/>
    <w:rsid w:val="005B205E"/>
    <w:rsid w:val="005B334D"/>
    <w:rsid w:val="005B33B9"/>
    <w:rsid w:val="005B3537"/>
    <w:rsid w:val="005B3937"/>
    <w:rsid w:val="005B3B35"/>
    <w:rsid w:val="005B3E55"/>
    <w:rsid w:val="005B5243"/>
    <w:rsid w:val="005B55DE"/>
    <w:rsid w:val="005B5B07"/>
    <w:rsid w:val="005B60E4"/>
    <w:rsid w:val="005B615C"/>
    <w:rsid w:val="005B6C1A"/>
    <w:rsid w:val="005C1E62"/>
    <w:rsid w:val="005C2E85"/>
    <w:rsid w:val="005C38CE"/>
    <w:rsid w:val="005C3F04"/>
    <w:rsid w:val="005C5060"/>
    <w:rsid w:val="005C5B28"/>
    <w:rsid w:val="005C5D02"/>
    <w:rsid w:val="005C60F7"/>
    <w:rsid w:val="005C6B5D"/>
    <w:rsid w:val="005C7E4B"/>
    <w:rsid w:val="005D0DDC"/>
    <w:rsid w:val="005D148F"/>
    <w:rsid w:val="005D1DCF"/>
    <w:rsid w:val="005D2663"/>
    <w:rsid w:val="005D2844"/>
    <w:rsid w:val="005D33AF"/>
    <w:rsid w:val="005D33D5"/>
    <w:rsid w:val="005D36CA"/>
    <w:rsid w:val="005D3996"/>
    <w:rsid w:val="005D4826"/>
    <w:rsid w:val="005D5645"/>
    <w:rsid w:val="005D6844"/>
    <w:rsid w:val="005D7128"/>
    <w:rsid w:val="005D79CA"/>
    <w:rsid w:val="005E001C"/>
    <w:rsid w:val="005E18D5"/>
    <w:rsid w:val="005E1C89"/>
    <w:rsid w:val="005E1EBB"/>
    <w:rsid w:val="005E1FCD"/>
    <w:rsid w:val="005E2BC9"/>
    <w:rsid w:val="005E3068"/>
    <w:rsid w:val="005E379D"/>
    <w:rsid w:val="005E3EF6"/>
    <w:rsid w:val="005E4BE0"/>
    <w:rsid w:val="005E58C6"/>
    <w:rsid w:val="005E58FF"/>
    <w:rsid w:val="005E7603"/>
    <w:rsid w:val="005F0344"/>
    <w:rsid w:val="005F1453"/>
    <w:rsid w:val="005F18A0"/>
    <w:rsid w:val="005F36FA"/>
    <w:rsid w:val="005F4ADF"/>
    <w:rsid w:val="005F4CD1"/>
    <w:rsid w:val="005F4CF3"/>
    <w:rsid w:val="005F5526"/>
    <w:rsid w:val="005F5B4B"/>
    <w:rsid w:val="005F5F23"/>
    <w:rsid w:val="005F61DF"/>
    <w:rsid w:val="005F698F"/>
    <w:rsid w:val="005F7A13"/>
    <w:rsid w:val="006001C0"/>
    <w:rsid w:val="00600306"/>
    <w:rsid w:val="00600642"/>
    <w:rsid w:val="00600D8C"/>
    <w:rsid w:val="00602042"/>
    <w:rsid w:val="006022C2"/>
    <w:rsid w:val="006024BD"/>
    <w:rsid w:val="0060430B"/>
    <w:rsid w:val="00605275"/>
    <w:rsid w:val="006056AC"/>
    <w:rsid w:val="00605D2F"/>
    <w:rsid w:val="00605E5A"/>
    <w:rsid w:val="00606480"/>
    <w:rsid w:val="00610DE4"/>
    <w:rsid w:val="00611C93"/>
    <w:rsid w:val="0061211D"/>
    <w:rsid w:val="00612F28"/>
    <w:rsid w:val="006130F5"/>
    <w:rsid w:val="0061336D"/>
    <w:rsid w:val="00613462"/>
    <w:rsid w:val="00614815"/>
    <w:rsid w:val="00616E0A"/>
    <w:rsid w:val="00616F18"/>
    <w:rsid w:val="00617ADD"/>
    <w:rsid w:val="00620420"/>
    <w:rsid w:val="0062061B"/>
    <w:rsid w:val="00620B8F"/>
    <w:rsid w:val="00620CAC"/>
    <w:rsid w:val="00620F08"/>
    <w:rsid w:val="00621159"/>
    <w:rsid w:val="0062193D"/>
    <w:rsid w:val="00621EDB"/>
    <w:rsid w:val="00622C6E"/>
    <w:rsid w:val="006238F5"/>
    <w:rsid w:val="00623F8B"/>
    <w:rsid w:val="006242F2"/>
    <w:rsid w:val="0062455B"/>
    <w:rsid w:val="006246D2"/>
    <w:rsid w:val="00626499"/>
    <w:rsid w:val="00626B5E"/>
    <w:rsid w:val="0062725A"/>
    <w:rsid w:val="0062765A"/>
    <w:rsid w:val="006278B0"/>
    <w:rsid w:val="006310DC"/>
    <w:rsid w:val="00631B40"/>
    <w:rsid w:val="00631F01"/>
    <w:rsid w:val="0063227F"/>
    <w:rsid w:val="00632309"/>
    <w:rsid w:val="006337F5"/>
    <w:rsid w:val="00634F70"/>
    <w:rsid w:val="0063592D"/>
    <w:rsid w:val="00636A33"/>
    <w:rsid w:val="00636AA5"/>
    <w:rsid w:val="00636C5B"/>
    <w:rsid w:val="006371C2"/>
    <w:rsid w:val="0063784B"/>
    <w:rsid w:val="006405BB"/>
    <w:rsid w:val="00642035"/>
    <w:rsid w:val="0064229C"/>
    <w:rsid w:val="00643003"/>
    <w:rsid w:val="006431FB"/>
    <w:rsid w:val="006434BF"/>
    <w:rsid w:val="006434EA"/>
    <w:rsid w:val="006439F1"/>
    <w:rsid w:val="00644083"/>
    <w:rsid w:val="006442DC"/>
    <w:rsid w:val="0064468B"/>
    <w:rsid w:val="00644C3C"/>
    <w:rsid w:val="006456F2"/>
    <w:rsid w:val="00646D97"/>
    <w:rsid w:val="006477AE"/>
    <w:rsid w:val="006515DF"/>
    <w:rsid w:val="00651A67"/>
    <w:rsid w:val="00652340"/>
    <w:rsid w:val="00653B13"/>
    <w:rsid w:val="00654548"/>
    <w:rsid w:val="00654A72"/>
    <w:rsid w:val="00655748"/>
    <w:rsid w:val="006572C2"/>
    <w:rsid w:val="006578EE"/>
    <w:rsid w:val="00657AE9"/>
    <w:rsid w:val="00657E81"/>
    <w:rsid w:val="00661166"/>
    <w:rsid w:val="00663087"/>
    <w:rsid w:val="00663323"/>
    <w:rsid w:val="00663344"/>
    <w:rsid w:val="00663B2C"/>
    <w:rsid w:val="00664513"/>
    <w:rsid w:val="006650A1"/>
    <w:rsid w:val="00666713"/>
    <w:rsid w:val="00666830"/>
    <w:rsid w:val="00667A2D"/>
    <w:rsid w:val="00667A69"/>
    <w:rsid w:val="0067176A"/>
    <w:rsid w:val="00671C0A"/>
    <w:rsid w:val="00672308"/>
    <w:rsid w:val="00672528"/>
    <w:rsid w:val="00672F4B"/>
    <w:rsid w:val="00673070"/>
    <w:rsid w:val="006742C5"/>
    <w:rsid w:val="0067521D"/>
    <w:rsid w:val="00676ACF"/>
    <w:rsid w:val="00677A9D"/>
    <w:rsid w:val="00677AC7"/>
    <w:rsid w:val="0068005D"/>
    <w:rsid w:val="006806FE"/>
    <w:rsid w:val="0068173B"/>
    <w:rsid w:val="00681FA6"/>
    <w:rsid w:val="006826D8"/>
    <w:rsid w:val="006837BD"/>
    <w:rsid w:val="0068388C"/>
    <w:rsid w:val="006839C4"/>
    <w:rsid w:val="00683BEC"/>
    <w:rsid w:val="00683FFB"/>
    <w:rsid w:val="00685998"/>
    <w:rsid w:val="006862B3"/>
    <w:rsid w:val="00687259"/>
    <w:rsid w:val="006874CE"/>
    <w:rsid w:val="006878AC"/>
    <w:rsid w:val="0068790F"/>
    <w:rsid w:val="00690E2F"/>
    <w:rsid w:val="00690F55"/>
    <w:rsid w:val="00692212"/>
    <w:rsid w:val="00692BBD"/>
    <w:rsid w:val="00693BD2"/>
    <w:rsid w:val="00693E51"/>
    <w:rsid w:val="00693F34"/>
    <w:rsid w:val="00695208"/>
    <w:rsid w:val="00697134"/>
    <w:rsid w:val="006A09A0"/>
    <w:rsid w:val="006A09D1"/>
    <w:rsid w:val="006A2E87"/>
    <w:rsid w:val="006A324F"/>
    <w:rsid w:val="006A3DD4"/>
    <w:rsid w:val="006A41F4"/>
    <w:rsid w:val="006A4CE0"/>
    <w:rsid w:val="006A5658"/>
    <w:rsid w:val="006A5F6B"/>
    <w:rsid w:val="006A689E"/>
    <w:rsid w:val="006A7D4C"/>
    <w:rsid w:val="006B01D2"/>
    <w:rsid w:val="006B0F32"/>
    <w:rsid w:val="006B3303"/>
    <w:rsid w:val="006B39BB"/>
    <w:rsid w:val="006B3FDD"/>
    <w:rsid w:val="006B43EA"/>
    <w:rsid w:val="006B4AA0"/>
    <w:rsid w:val="006B4B4D"/>
    <w:rsid w:val="006B4D55"/>
    <w:rsid w:val="006B5399"/>
    <w:rsid w:val="006B5734"/>
    <w:rsid w:val="006B5958"/>
    <w:rsid w:val="006B5E7D"/>
    <w:rsid w:val="006B7338"/>
    <w:rsid w:val="006C024B"/>
    <w:rsid w:val="006C06D9"/>
    <w:rsid w:val="006C250A"/>
    <w:rsid w:val="006C2C5D"/>
    <w:rsid w:val="006C3231"/>
    <w:rsid w:val="006C3769"/>
    <w:rsid w:val="006C512C"/>
    <w:rsid w:val="006C51D8"/>
    <w:rsid w:val="006C56D6"/>
    <w:rsid w:val="006C60B9"/>
    <w:rsid w:val="006C6C25"/>
    <w:rsid w:val="006C6EAD"/>
    <w:rsid w:val="006D0237"/>
    <w:rsid w:val="006D03A0"/>
    <w:rsid w:val="006D0611"/>
    <w:rsid w:val="006D0FA0"/>
    <w:rsid w:val="006D1043"/>
    <w:rsid w:val="006D12F0"/>
    <w:rsid w:val="006D185C"/>
    <w:rsid w:val="006D2375"/>
    <w:rsid w:val="006D2B3F"/>
    <w:rsid w:val="006D300B"/>
    <w:rsid w:val="006D3061"/>
    <w:rsid w:val="006D3470"/>
    <w:rsid w:val="006D34AB"/>
    <w:rsid w:val="006D4542"/>
    <w:rsid w:val="006D490C"/>
    <w:rsid w:val="006D509B"/>
    <w:rsid w:val="006D63F4"/>
    <w:rsid w:val="006D6813"/>
    <w:rsid w:val="006D6927"/>
    <w:rsid w:val="006D7248"/>
    <w:rsid w:val="006D79A3"/>
    <w:rsid w:val="006E12D9"/>
    <w:rsid w:val="006E1CF5"/>
    <w:rsid w:val="006E1FE2"/>
    <w:rsid w:val="006E20DE"/>
    <w:rsid w:val="006E2159"/>
    <w:rsid w:val="006E2374"/>
    <w:rsid w:val="006E258A"/>
    <w:rsid w:val="006E3444"/>
    <w:rsid w:val="006E43D9"/>
    <w:rsid w:val="006E4CE3"/>
    <w:rsid w:val="006E53BF"/>
    <w:rsid w:val="006E54AE"/>
    <w:rsid w:val="006E6E9F"/>
    <w:rsid w:val="006E6F8A"/>
    <w:rsid w:val="006E75D6"/>
    <w:rsid w:val="006F00C8"/>
    <w:rsid w:val="006F08CC"/>
    <w:rsid w:val="006F1343"/>
    <w:rsid w:val="006F1DB0"/>
    <w:rsid w:val="006F22CA"/>
    <w:rsid w:val="006F4308"/>
    <w:rsid w:val="00700B86"/>
    <w:rsid w:val="00701DEC"/>
    <w:rsid w:val="00702ADD"/>
    <w:rsid w:val="00702CE6"/>
    <w:rsid w:val="0070383A"/>
    <w:rsid w:val="00704364"/>
    <w:rsid w:val="00704BA6"/>
    <w:rsid w:val="00704F1C"/>
    <w:rsid w:val="0070555D"/>
    <w:rsid w:val="00705783"/>
    <w:rsid w:val="007067C7"/>
    <w:rsid w:val="00706D5B"/>
    <w:rsid w:val="007078F9"/>
    <w:rsid w:val="00707C74"/>
    <w:rsid w:val="00707E39"/>
    <w:rsid w:val="007100DF"/>
    <w:rsid w:val="0071013D"/>
    <w:rsid w:val="0071035B"/>
    <w:rsid w:val="007122C4"/>
    <w:rsid w:val="00712EE2"/>
    <w:rsid w:val="00715337"/>
    <w:rsid w:val="007155A5"/>
    <w:rsid w:val="00716315"/>
    <w:rsid w:val="007164B3"/>
    <w:rsid w:val="00716E10"/>
    <w:rsid w:val="00716F85"/>
    <w:rsid w:val="007170A1"/>
    <w:rsid w:val="00717EAA"/>
    <w:rsid w:val="00721780"/>
    <w:rsid w:val="0072179A"/>
    <w:rsid w:val="00721B00"/>
    <w:rsid w:val="00721D2B"/>
    <w:rsid w:val="007226CC"/>
    <w:rsid w:val="00722F53"/>
    <w:rsid w:val="00723F10"/>
    <w:rsid w:val="00724AC4"/>
    <w:rsid w:val="00725BE9"/>
    <w:rsid w:val="0072644F"/>
    <w:rsid w:val="007271A6"/>
    <w:rsid w:val="00727387"/>
    <w:rsid w:val="007278CF"/>
    <w:rsid w:val="00727F93"/>
    <w:rsid w:val="00730D88"/>
    <w:rsid w:val="00731CF2"/>
    <w:rsid w:val="00732752"/>
    <w:rsid w:val="007329A4"/>
    <w:rsid w:val="00733608"/>
    <w:rsid w:val="00733940"/>
    <w:rsid w:val="007357D9"/>
    <w:rsid w:val="007378A5"/>
    <w:rsid w:val="00737BB3"/>
    <w:rsid w:val="007430FC"/>
    <w:rsid w:val="007443BD"/>
    <w:rsid w:val="00745B21"/>
    <w:rsid w:val="00745CFB"/>
    <w:rsid w:val="00747D31"/>
    <w:rsid w:val="007512B9"/>
    <w:rsid w:val="007517D3"/>
    <w:rsid w:val="007517FE"/>
    <w:rsid w:val="007522F0"/>
    <w:rsid w:val="00752A9D"/>
    <w:rsid w:val="0075427C"/>
    <w:rsid w:val="00754A3E"/>
    <w:rsid w:val="00754A8C"/>
    <w:rsid w:val="00755204"/>
    <w:rsid w:val="00755AB3"/>
    <w:rsid w:val="00756771"/>
    <w:rsid w:val="00756C4B"/>
    <w:rsid w:val="0075721B"/>
    <w:rsid w:val="007575CA"/>
    <w:rsid w:val="00757645"/>
    <w:rsid w:val="00761234"/>
    <w:rsid w:val="007613B4"/>
    <w:rsid w:val="00761562"/>
    <w:rsid w:val="00761805"/>
    <w:rsid w:val="00761BEE"/>
    <w:rsid w:val="00761C83"/>
    <w:rsid w:val="00761CC0"/>
    <w:rsid w:val="0076236B"/>
    <w:rsid w:val="00762787"/>
    <w:rsid w:val="00763324"/>
    <w:rsid w:val="0076333C"/>
    <w:rsid w:val="00763B51"/>
    <w:rsid w:val="00764853"/>
    <w:rsid w:val="00764B99"/>
    <w:rsid w:val="007668C7"/>
    <w:rsid w:val="007668D8"/>
    <w:rsid w:val="0076740B"/>
    <w:rsid w:val="007679E2"/>
    <w:rsid w:val="00770FC1"/>
    <w:rsid w:val="007716AE"/>
    <w:rsid w:val="00771B03"/>
    <w:rsid w:val="007725DF"/>
    <w:rsid w:val="00774360"/>
    <w:rsid w:val="00776467"/>
    <w:rsid w:val="0077791F"/>
    <w:rsid w:val="00780FBE"/>
    <w:rsid w:val="00782169"/>
    <w:rsid w:val="0078264D"/>
    <w:rsid w:val="00782A15"/>
    <w:rsid w:val="00783079"/>
    <w:rsid w:val="00783BCE"/>
    <w:rsid w:val="00784C54"/>
    <w:rsid w:val="00784CA3"/>
    <w:rsid w:val="00785127"/>
    <w:rsid w:val="007859BE"/>
    <w:rsid w:val="00787389"/>
    <w:rsid w:val="00787A8F"/>
    <w:rsid w:val="007909B7"/>
    <w:rsid w:val="00792435"/>
    <w:rsid w:val="0079442E"/>
    <w:rsid w:val="00794B4F"/>
    <w:rsid w:val="0079764C"/>
    <w:rsid w:val="00797AEA"/>
    <w:rsid w:val="00797B14"/>
    <w:rsid w:val="00797FFE"/>
    <w:rsid w:val="007A011F"/>
    <w:rsid w:val="007A0471"/>
    <w:rsid w:val="007A0948"/>
    <w:rsid w:val="007A136A"/>
    <w:rsid w:val="007A142E"/>
    <w:rsid w:val="007A165A"/>
    <w:rsid w:val="007A18D6"/>
    <w:rsid w:val="007A1D0E"/>
    <w:rsid w:val="007A21C9"/>
    <w:rsid w:val="007A3084"/>
    <w:rsid w:val="007A3332"/>
    <w:rsid w:val="007A4050"/>
    <w:rsid w:val="007A56A4"/>
    <w:rsid w:val="007A62EB"/>
    <w:rsid w:val="007A6F6C"/>
    <w:rsid w:val="007A7331"/>
    <w:rsid w:val="007B028C"/>
    <w:rsid w:val="007B091C"/>
    <w:rsid w:val="007B0A92"/>
    <w:rsid w:val="007B0CE4"/>
    <w:rsid w:val="007B1B5B"/>
    <w:rsid w:val="007B2067"/>
    <w:rsid w:val="007B5160"/>
    <w:rsid w:val="007B6270"/>
    <w:rsid w:val="007B6784"/>
    <w:rsid w:val="007B7094"/>
    <w:rsid w:val="007C0CDB"/>
    <w:rsid w:val="007C0D14"/>
    <w:rsid w:val="007C2C38"/>
    <w:rsid w:val="007C3D3D"/>
    <w:rsid w:val="007C4417"/>
    <w:rsid w:val="007C5EAF"/>
    <w:rsid w:val="007C63D5"/>
    <w:rsid w:val="007C66AA"/>
    <w:rsid w:val="007D0130"/>
    <w:rsid w:val="007D045E"/>
    <w:rsid w:val="007D04F5"/>
    <w:rsid w:val="007D0A2B"/>
    <w:rsid w:val="007D22CF"/>
    <w:rsid w:val="007D23C7"/>
    <w:rsid w:val="007D2B0A"/>
    <w:rsid w:val="007D3C94"/>
    <w:rsid w:val="007D3D02"/>
    <w:rsid w:val="007D45E2"/>
    <w:rsid w:val="007D4B1E"/>
    <w:rsid w:val="007D5980"/>
    <w:rsid w:val="007D6954"/>
    <w:rsid w:val="007D72B0"/>
    <w:rsid w:val="007D7421"/>
    <w:rsid w:val="007E0099"/>
    <w:rsid w:val="007E0702"/>
    <w:rsid w:val="007E07C9"/>
    <w:rsid w:val="007E0832"/>
    <w:rsid w:val="007E0F78"/>
    <w:rsid w:val="007E118C"/>
    <w:rsid w:val="007E124B"/>
    <w:rsid w:val="007E1BEB"/>
    <w:rsid w:val="007E319D"/>
    <w:rsid w:val="007E3CBE"/>
    <w:rsid w:val="007E4B90"/>
    <w:rsid w:val="007E53A2"/>
    <w:rsid w:val="007E6798"/>
    <w:rsid w:val="007E7832"/>
    <w:rsid w:val="007E7D1F"/>
    <w:rsid w:val="007F075F"/>
    <w:rsid w:val="007F1BC1"/>
    <w:rsid w:val="007F1D7B"/>
    <w:rsid w:val="007F2632"/>
    <w:rsid w:val="007F2C29"/>
    <w:rsid w:val="007F3F1C"/>
    <w:rsid w:val="007F3F6C"/>
    <w:rsid w:val="007F45A2"/>
    <w:rsid w:val="007F4B92"/>
    <w:rsid w:val="007F501C"/>
    <w:rsid w:val="007F5165"/>
    <w:rsid w:val="007F577E"/>
    <w:rsid w:val="007F5C4E"/>
    <w:rsid w:val="00801022"/>
    <w:rsid w:val="00801F81"/>
    <w:rsid w:val="00802313"/>
    <w:rsid w:val="00802320"/>
    <w:rsid w:val="00802BD2"/>
    <w:rsid w:val="00803485"/>
    <w:rsid w:val="008046E1"/>
    <w:rsid w:val="00804927"/>
    <w:rsid w:val="00804A88"/>
    <w:rsid w:val="00805662"/>
    <w:rsid w:val="00805B9F"/>
    <w:rsid w:val="00806AB1"/>
    <w:rsid w:val="00806E9C"/>
    <w:rsid w:val="008074E9"/>
    <w:rsid w:val="00810386"/>
    <w:rsid w:val="0081264B"/>
    <w:rsid w:val="008128E1"/>
    <w:rsid w:val="00813A07"/>
    <w:rsid w:val="008143DF"/>
    <w:rsid w:val="00814EBD"/>
    <w:rsid w:val="008159D8"/>
    <w:rsid w:val="00815A79"/>
    <w:rsid w:val="00815ACC"/>
    <w:rsid w:val="00815D18"/>
    <w:rsid w:val="0082098D"/>
    <w:rsid w:val="00821F92"/>
    <w:rsid w:val="0082260B"/>
    <w:rsid w:val="00822B5F"/>
    <w:rsid w:val="00822C16"/>
    <w:rsid w:val="00823DEB"/>
    <w:rsid w:val="00824099"/>
    <w:rsid w:val="0082549C"/>
    <w:rsid w:val="008258DC"/>
    <w:rsid w:val="00827AAC"/>
    <w:rsid w:val="00827F56"/>
    <w:rsid w:val="008308C9"/>
    <w:rsid w:val="00830F87"/>
    <w:rsid w:val="00831A43"/>
    <w:rsid w:val="00832759"/>
    <w:rsid w:val="00832ED7"/>
    <w:rsid w:val="00833092"/>
    <w:rsid w:val="0083450E"/>
    <w:rsid w:val="00834D20"/>
    <w:rsid w:val="00835582"/>
    <w:rsid w:val="008356BE"/>
    <w:rsid w:val="00840F0B"/>
    <w:rsid w:val="00841405"/>
    <w:rsid w:val="008415B1"/>
    <w:rsid w:val="00841C54"/>
    <w:rsid w:val="00841FD2"/>
    <w:rsid w:val="008423A7"/>
    <w:rsid w:val="00842506"/>
    <w:rsid w:val="008426BE"/>
    <w:rsid w:val="00842F6C"/>
    <w:rsid w:val="0084376B"/>
    <w:rsid w:val="0084445B"/>
    <w:rsid w:val="008445F5"/>
    <w:rsid w:val="00846119"/>
    <w:rsid w:val="00846801"/>
    <w:rsid w:val="00847DC3"/>
    <w:rsid w:val="0085019E"/>
    <w:rsid w:val="00850CF5"/>
    <w:rsid w:val="00851804"/>
    <w:rsid w:val="00851E8C"/>
    <w:rsid w:val="00852116"/>
    <w:rsid w:val="00852237"/>
    <w:rsid w:val="008527A2"/>
    <w:rsid w:val="00853205"/>
    <w:rsid w:val="00853332"/>
    <w:rsid w:val="00853442"/>
    <w:rsid w:val="008552BC"/>
    <w:rsid w:val="008552C9"/>
    <w:rsid w:val="00855DEA"/>
    <w:rsid w:val="00856274"/>
    <w:rsid w:val="0085686E"/>
    <w:rsid w:val="00856DC5"/>
    <w:rsid w:val="00857AE1"/>
    <w:rsid w:val="00857B87"/>
    <w:rsid w:val="00860A70"/>
    <w:rsid w:val="008614BB"/>
    <w:rsid w:val="0086154A"/>
    <w:rsid w:val="0086191A"/>
    <w:rsid w:val="00861EC0"/>
    <w:rsid w:val="008622BC"/>
    <w:rsid w:val="00862910"/>
    <w:rsid w:val="0086324A"/>
    <w:rsid w:val="00863CA4"/>
    <w:rsid w:val="00864E05"/>
    <w:rsid w:val="00865340"/>
    <w:rsid w:val="0086737B"/>
    <w:rsid w:val="008702FF"/>
    <w:rsid w:val="008720EA"/>
    <w:rsid w:val="0087281F"/>
    <w:rsid w:val="0087361C"/>
    <w:rsid w:val="008738E8"/>
    <w:rsid w:val="0087566C"/>
    <w:rsid w:val="00876016"/>
    <w:rsid w:val="00876564"/>
    <w:rsid w:val="00876B74"/>
    <w:rsid w:val="00876E77"/>
    <w:rsid w:val="008775C9"/>
    <w:rsid w:val="00880AA6"/>
    <w:rsid w:val="00880EF3"/>
    <w:rsid w:val="00881511"/>
    <w:rsid w:val="008816B2"/>
    <w:rsid w:val="00882EF9"/>
    <w:rsid w:val="00883FAB"/>
    <w:rsid w:val="008841F3"/>
    <w:rsid w:val="00884644"/>
    <w:rsid w:val="008853B6"/>
    <w:rsid w:val="008855BA"/>
    <w:rsid w:val="008859F7"/>
    <w:rsid w:val="00885CA5"/>
    <w:rsid w:val="00885EC2"/>
    <w:rsid w:val="00886BAA"/>
    <w:rsid w:val="00886E3E"/>
    <w:rsid w:val="0088734E"/>
    <w:rsid w:val="00887643"/>
    <w:rsid w:val="008900B8"/>
    <w:rsid w:val="008904D1"/>
    <w:rsid w:val="00890B3A"/>
    <w:rsid w:val="00891BB2"/>
    <w:rsid w:val="008927BC"/>
    <w:rsid w:val="00893009"/>
    <w:rsid w:val="008936A0"/>
    <w:rsid w:val="00893CB9"/>
    <w:rsid w:val="00894B56"/>
    <w:rsid w:val="00895470"/>
    <w:rsid w:val="00896020"/>
    <w:rsid w:val="00897872"/>
    <w:rsid w:val="008A04AB"/>
    <w:rsid w:val="008A060F"/>
    <w:rsid w:val="008A1D94"/>
    <w:rsid w:val="008A23ED"/>
    <w:rsid w:val="008A2A7A"/>
    <w:rsid w:val="008A3D37"/>
    <w:rsid w:val="008A3F20"/>
    <w:rsid w:val="008A4438"/>
    <w:rsid w:val="008A44CE"/>
    <w:rsid w:val="008A531F"/>
    <w:rsid w:val="008A7C36"/>
    <w:rsid w:val="008A7D13"/>
    <w:rsid w:val="008A7F7B"/>
    <w:rsid w:val="008B026E"/>
    <w:rsid w:val="008B09E0"/>
    <w:rsid w:val="008B1298"/>
    <w:rsid w:val="008B13D1"/>
    <w:rsid w:val="008B1497"/>
    <w:rsid w:val="008B1AC9"/>
    <w:rsid w:val="008B1FBE"/>
    <w:rsid w:val="008B3507"/>
    <w:rsid w:val="008B3725"/>
    <w:rsid w:val="008B403B"/>
    <w:rsid w:val="008B4F6B"/>
    <w:rsid w:val="008B52B5"/>
    <w:rsid w:val="008B563D"/>
    <w:rsid w:val="008B75B0"/>
    <w:rsid w:val="008B7899"/>
    <w:rsid w:val="008B7AD8"/>
    <w:rsid w:val="008B7D2D"/>
    <w:rsid w:val="008C0255"/>
    <w:rsid w:val="008C0452"/>
    <w:rsid w:val="008C087C"/>
    <w:rsid w:val="008C0A83"/>
    <w:rsid w:val="008C0B94"/>
    <w:rsid w:val="008C1764"/>
    <w:rsid w:val="008C1AB9"/>
    <w:rsid w:val="008C1CC0"/>
    <w:rsid w:val="008C1DB8"/>
    <w:rsid w:val="008C22E8"/>
    <w:rsid w:val="008C330A"/>
    <w:rsid w:val="008C46A6"/>
    <w:rsid w:val="008C4F88"/>
    <w:rsid w:val="008C55BD"/>
    <w:rsid w:val="008C5716"/>
    <w:rsid w:val="008C65CD"/>
    <w:rsid w:val="008D0CFC"/>
    <w:rsid w:val="008D1D0A"/>
    <w:rsid w:val="008D48E5"/>
    <w:rsid w:val="008D5C2F"/>
    <w:rsid w:val="008D5DCD"/>
    <w:rsid w:val="008D6982"/>
    <w:rsid w:val="008E0A1A"/>
    <w:rsid w:val="008E1181"/>
    <w:rsid w:val="008E1EC2"/>
    <w:rsid w:val="008E25FF"/>
    <w:rsid w:val="008E27DB"/>
    <w:rsid w:val="008E3B96"/>
    <w:rsid w:val="008E4493"/>
    <w:rsid w:val="008E4AE0"/>
    <w:rsid w:val="008E54AC"/>
    <w:rsid w:val="008E5793"/>
    <w:rsid w:val="008E63E8"/>
    <w:rsid w:val="008E6535"/>
    <w:rsid w:val="008E6E33"/>
    <w:rsid w:val="008F11A1"/>
    <w:rsid w:val="008F357E"/>
    <w:rsid w:val="008F3CFE"/>
    <w:rsid w:val="008F488A"/>
    <w:rsid w:val="008F5123"/>
    <w:rsid w:val="008F5AF9"/>
    <w:rsid w:val="008F6944"/>
    <w:rsid w:val="008F773C"/>
    <w:rsid w:val="00900BC4"/>
    <w:rsid w:val="00900ECB"/>
    <w:rsid w:val="00900EFD"/>
    <w:rsid w:val="009014AB"/>
    <w:rsid w:val="0090161F"/>
    <w:rsid w:val="009016D5"/>
    <w:rsid w:val="009019DA"/>
    <w:rsid w:val="00901B70"/>
    <w:rsid w:val="00902108"/>
    <w:rsid w:val="00902F9E"/>
    <w:rsid w:val="009037DE"/>
    <w:rsid w:val="009039B0"/>
    <w:rsid w:val="00903B80"/>
    <w:rsid w:val="00904FF3"/>
    <w:rsid w:val="009055A7"/>
    <w:rsid w:val="00905B96"/>
    <w:rsid w:val="00905F02"/>
    <w:rsid w:val="00906173"/>
    <w:rsid w:val="00906D78"/>
    <w:rsid w:val="0090792B"/>
    <w:rsid w:val="00907F0B"/>
    <w:rsid w:val="00912104"/>
    <w:rsid w:val="00912803"/>
    <w:rsid w:val="00912C32"/>
    <w:rsid w:val="0091415A"/>
    <w:rsid w:val="009146C1"/>
    <w:rsid w:val="0091507F"/>
    <w:rsid w:val="00915236"/>
    <w:rsid w:val="00915385"/>
    <w:rsid w:val="00916586"/>
    <w:rsid w:val="00917DD1"/>
    <w:rsid w:val="0092043B"/>
    <w:rsid w:val="0092174C"/>
    <w:rsid w:val="00922FDE"/>
    <w:rsid w:val="00923BDC"/>
    <w:rsid w:val="009243CE"/>
    <w:rsid w:val="00930B76"/>
    <w:rsid w:val="009310A5"/>
    <w:rsid w:val="00931DB3"/>
    <w:rsid w:val="009323F9"/>
    <w:rsid w:val="00933DDA"/>
    <w:rsid w:val="00934AF0"/>
    <w:rsid w:val="0093557A"/>
    <w:rsid w:val="009368DE"/>
    <w:rsid w:val="009369C3"/>
    <w:rsid w:val="00940133"/>
    <w:rsid w:val="009406CD"/>
    <w:rsid w:val="00941049"/>
    <w:rsid w:val="00942C35"/>
    <w:rsid w:val="009435BA"/>
    <w:rsid w:val="00944301"/>
    <w:rsid w:val="009445C6"/>
    <w:rsid w:val="00945749"/>
    <w:rsid w:val="0094621B"/>
    <w:rsid w:val="0095174F"/>
    <w:rsid w:val="00952337"/>
    <w:rsid w:val="009526C5"/>
    <w:rsid w:val="00952A43"/>
    <w:rsid w:val="00955C78"/>
    <w:rsid w:val="00956979"/>
    <w:rsid w:val="009574A4"/>
    <w:rsid w:val="009606FF"/>
    <w:rsid w:val="00960E8D"/>
    <w:rsid w:val="00961103"/>
    <w:rsid w:val="0096147C"/>
    <w:rsid w:val="009624AD"/>
    <w:rsid w:val="00962CDD"/>
    <w:rsid w:val="00965514"/>
    <w:rsid w:val="00965F11"/>
    <w:rsid w:val="009670F8"/>
    <w:rsid w:val="00967DC4"/>
    <w:rsid w:val="009713D6"/>
    <w:rsid w:val="00971B47"/>
    <w:rsid w:val="00971DA2"/>
    <w:rsid w:val="0097353B"/>
    <w:rsid w:val="00973C46"/>
    <w:rsid w:val="00974F64"/>
    <w:rsid w:val="009759C0"/>
    <w:rsid w:val="009768AB"/>
    <w:rsid w:val="009774B0"/>
    <w:rsid w:val="00980209"/>
    <w:rsid w:val="0098032F"/>
    <w:rsid w:val="00980425"/>
    <w:rsid w:val="0098076D"/>
    <w:rsid w:val="009819FF"/>
    <w:rsid w:val="00981F0C"/>
    <w:rsid w:val="0098223E"/>
    <w:rsid w:val="009830E9"/>
    <w:rsid w:val="009855D8"/>
    <w:rsid w:val="00986883"/>
    <w:rsid w:val="00986AC6"/>
    <w:rsid w:val="00986B36"/>
    <w:rsid w:val="00987299"/>
    <w:rsid w:val="00987E1A"/>
    <w:rsid w:val="00987EE8"/>
    <w:rsid w:val="00990B29"/>
    <w:rsid w:val="0099135D"/>
    <w:rsid w:val="0099143C"/>
    <w:rsid w:val="00991C4B"/>
    <w:rsid w:val="00992CDA"/>
    <w:rsid w:val="00993005"/>
    <w:rsid w:val="0099375D"/>
    <w:rsid w:val="00993F14"/>
    <w:rsid w:val="0099406F"/>
    <w:rsid w:val="00994E72"/>
    <w:rsid w:val="00995DCD"/>
    <w:rsid w:val="00996EB6"/>
    <w:rsid w:val="0099756E"/>
    <w:rsid w:val="009975E2"/>
    <w:rsid w:val="00997661"/>
    <w:rsid w:val="00997B8B"/>
    <w:rsid w:val="00997FC6"/>
    <w:rsid w:val="009A0042"/>
    <w:rsid w:val="009A0C1E"/>
    <w:rsid w:val="009A1314"/>
    <w:rsid w:val="009A1DA6"/>
    <w:rsid w:val="009A2753"/>
    <w:rsid w:val="009A45FD"/>
    <w:rsid w:val="009A474A"/>
    <w:rsid w:val="009A573E"/>
    <w:rsid w:val="009A5D12"/>
    <w:rsid w:val="009A775F"/>
    <w:rsid w:val="009B0800"/>
    <w:rsid w:val="009B1AE8"/>
    <w:rsid w:val="009B218F"/>
    <w:rsid w:val="009B344E"/>
    <w:rsid w:val="009B49AA"/>
    <w:rsid w:val="009B4EF0"/>
    <w:rsid w:val="009B538B"/>
    <w:rsid w:val="009B5B30"/>
    <w:rsid w:val="009B5CF9"/>
    <w:rsid w:val="009B5EC8"/>
    <w:rsid w:val="009C04AA"/>
    <w:rsid w:val="009C08F2"/>
    <w:rsid w:val="009C1150"/>
    <w:rsid w:val="009C18E8"/>
    <w:rsid w:val="009C2316"/>
    <w:rsid w:val="009C3631"/>
    <w:rsid w:val="009C443B"/>
    <w:rsid w:val="009C4534"/>
    <w:rsid w:val="009C47BC"/>
    <w:rsid w:val="009C487B"/>
    <w:rsid w:val="009C495C"/>
    <w:rsid w:val="009C520D"/>
    <w:rsid w:val="009C61DF"/>
    <w:rsid w:val="009C6782"/>
    <w:rsid w:val="009C6FAC"/>
    <w:rsid w:val="009C70A1"/>
    <w:rsid w:val="009C79C3"/>
    <w:rsid w:val="009D021E"/>
    <w:rsid w:val="009D108B"/>
    <w:rsid w:val="009D186D"/>
    <w:rsid w:val="009D1931"/>
    <w:rsid w:val="009D1CA9"/>
    <w:rsid w:val="009D1CB6"/>
    <w:rsid w:val="009D260C"/>
    <w:rsid w:val="009D3334"/>
    <w:rsid w:val="009D42E3"/>
    <w:rsid w:val="009D5A71"/>
    <w:rsid w:val="009D65D1"/>
    <w:rsid w:val="009D6C7D"/>
    <w:rsid w:val="009D7093"/>
    <w:rsid w:val="009D742B"/>
    <w:rsid w:val="009E0D83"/>
    <w:rsid w:val="009E1127"/>
    <w:rsid w:val="009E1136"/>
    <w:rsid w:val="009E17B0"/>
    <w:rsid w:val="009E2BB6"/>
    <w:rsid w:val="009E2E2E"/>
    <w:rsid w:val="009E4D78"/>
    <w:rsid w:val="009E558F"/>
    <w:rsid w:val="009E5B11"/>
    <w:rsid w:val="009E5B47"/>
    <w:rsid w:val="009E5FDC"/>
    <w:rsid w:val="009E6185"/>
    <w:rsid w:val="009E693E"/>
    <w:rsid w:val="009E7126"/>
    <w:rsid w:val="009E75E1"/>
    <w:rsid w:val="009E7C04"/>
    <w:rsid w:val="009E7EE4"/>
    <w:rsid w:val="009F05E9"/>
    <w:rsid w:val="009F0937"/>
    <w:rsid w:val="009F0E42"/>
    <w:rsid w:val="009F15A9"/>
    <w:rsid w:val="009F1B49"/>
    <w:rsid w:val="009F2004"/>
    <w:rsid w:val="009F29D9"/>
    <w:rsid w:val="009F324D"/>
    <w:rsid w:val="009F3EF8"/>
    <w:rsid w:val="009F5F84"/>
    <w:rsid w:val="009F71D4"/>
    <w:rsid w:val="00A00A1B"/>
    <w:rsid w:val="00A00C11"/>
    <w:rsid w:val="00A00CE7"/>
    <w:rsid w:val="00A024C5"/>
    <w:rsid w:val="00A03104"/>
    <w:rsid w:val="00A034B4"/>
    <w:rsid w:val="00A03EED"/>
    <w:rsid w:val="00A05D24"/>
    <w:rsid w:val="00A065CC"/>
    <w:rsid w:val="00A06E5A"/>
    <w:rsid w:val="00A07B10"/>
    <w:rsid w:val="00A07E22"/>
    <w:rsid w:val="00A12B1B"/>
    <w:rsid w:val="00A12C37"/>
    <w:rsid w:val="00A12F37"/>
    <w:rsid w:val="00A13149"/>
    <w:rsid w:val="00A133ED"/>
    <w:rsid w:val="00A13530"/>
    <w:rsid w:val="00A13FEB"/>
    <w:rsid w:val="00A14F94"/>
    <w:rsid w:val="00A15060"/>
    <w:rsid w:val="00A15462"/>
    <w:rsid w:val="00A15D47"/>
    <w:rsid w:val="00A2072B"/>
    <w:rsid w:val="00A20742"/>
    <w:rsid w:val="00A217D4"/>
    <w:rsid w:val="00A220F5"/>
    <w:rsid w:val="00A225F8"/>
    <w:rsid w:val="00A22F6C"/>
    <w:rsid w:val="00A23B91"/>
    <w:rsid w:val="00A25086"/>
    <w:rsid w:val="00A2537C"/>
    <w:rsid w:val="00A26280"/>
    <w:rsid w:val="00A26D41"/>
    <w:rsid w:val="00A26F40"/>
    <w:rsid w:val="00A270A1"/>
    <w:rsid w:val="00A27340"/>
    <w:rsid w:val="00A30214"/>
    <w:rsid w:val="00A30B10"/>
    <w:rsid w:val="00A321D8"/>
    <w:rsid w:val="00A32786"/>
    <w:rsid w:val="00A32EDC"/>
    <w:rsid w:val="00A3386C"/>
    <w:rsid w:val="00A33910"/>
    <w:rsid w:val="00A33C34"/>
    <w:rsid w:val="00A34872"/>
    <w:rsid w:val="00A34AED"/>
    <w:rsid w:val="00A34BE6"/>
    <w:rsid w:val="00A35BD7"/>
    <w:rsid w:val="00A35BE4"/>
    <w:rsid w:val="00A370B3"/>
    <w:rsid w:val="00A373E4"/>
    <w:rsid w:val="00A37528"/>
    <w:rsid w:val="00A376BD"/>
    <w:rsid w:val="00A37B52"/>
    <w:rsid w:val="00A4043F"/>
    <w:rsid w:val="00A40659"/>
    <w:rsid w:val="00A42219"/>
    <w:rsid w:val="00A42811"/>
    <w:rsid w:val="00A42878"/>
    <w:rsid w:val="00A42E93"/>
    <w:rsid w:val="00A44863"/>
    <w:rsid w:val="00A4633A"/>
    <w:rsid w:val="00A46EB0"/>
    <w:rsid w:val="00A46EE1"/>
    <w:rsid w:val="00A47322"/>
    <w:rsid w:val="00A502EC"/>
    <w:rsid w:val="00A5094E"/>
    <w:rsid w:val="00A51BE8"/>
    <w:rsid w:val="00A523FC"/>
    <w:rsid w:val="00A524E7"/>
    <w:rsid w:val="00A52C73"/>
    <w:rsid w:val="00A52D36"/>
    <w:rsid w:val="00A533C2"/>
    <w:rsid w:val="00A5367F"/>
    <w:rsid w:val="00A54D30"/>
    <w:rsid w:val="00A55213"/>
    <w:rsid w:val="00A56689"/>
    <w:rsid w:val="00A5782D"/>
    <w:rsid w:val="00A60095"/>
    <w:rsid w:val="00A600F3"/>
    <w:rsid w:val="00A60133"/>
    <w:rsid w:val="00A6089B"/>
    <w:rsid w:val="00A60C66"/>
    <w:rsid w:val="00A60E1F"/>
    <w:rsid w:val="00A60FAE"/>
    <w:rsid w:val="00A61369"/>
    <w:rsid w:val="00A61429"/>
    <w:rsid w:val="00A61B38"/>
    <w:rsid w:val="00A62A44"/>
    <w:rsid w:val="00A62D8B"/>
    <w:rsid w:val="00A6376B"/>
    <w:rsid w:val="00A63A08"/>
    <w:rsid w:val="00A63DF7"/>
    <w:rsid w:val="00A64121"/>
    <w:rsid w:val="00A6432D"/>
    <w:rsid w:val="00A6466C"/>
    <w:rsid w:val="00A64F73"/>
    <w:rsid w:val="00A66138"/>
    <w:rsid w:val="00A66C27"/>
    <w:rsid w:val="00A672B4"/>
    <w:rsid w:val="00A70C63"/>
    <w:rsid w:val="00A7153A"/>
    <w:rsid w:val="00A71C2E"/>
    <w:rsid w:val="00A72575"/>
    <w:rsid w:val="00A72859"/>
    <w:rsid w:val="00A729AE"/>
    <w:rsid w:val="00A73207"/>
    <w:rsid w:val="00A73696"/>
    <w:rsid w:val="00A73BA1"/>
    <w:rsid w:val="00A76060"/>
    <w:rsid w:val="00A76568"/>
    <w:rsid w:val="00A7657D"/>
    <w:rsid w:val="00A768D9"/>
    <w:rsid w:val="00A76988"/>
    <w:rsid w:val="00A76CB2"/>
    <w:rsid w:val="00A77EED"/>
    <w:rsid w:val="00A77F4E"/>
    <w:rsid w:val="00A77FAA"/>
    <w:rsid w:val="00A80968"/>
    <w:rsid w:val="00A81C3A"/>
    <w:rsid w:val="00A81EC1"/>
    <w:rsid w:val="00A82962"/>
    <w:rsid w:val="00A83354"/>
    <w:rsid w:val="00A83519"/>
    <w:rsid w:val="00A84196"/>
    <w:rsid w:val="00A84882"/>
    <w:rsid w:val="00A866EE"/>
    <w:rsid w:val="00A866EF"/>
    <w:rsid w:val="00A86C00"/>
    <w:rsid w:val="00A86CF7"/>
    <w:rsid w:val="00A87686"/>
    <w:rsid w:val="00A87782"/>
    <w:rsid w:val="00A87BFF"/>
    <w:rsid w:val="00A87FCB"/>
    <w:rsid w:val="00A906F2"/>
    <w:rsid w:val="00A91C0B"/>
    <w:rsid w:val="00A91E28"/>
    <w:rsid w:val="00A92B5C"/>
    <w:rsid w:val="00A938F6"/>
    <w:rsid w:val="00A95812"/>
    <w:rsid w:val="00A964FF"/>
    <w:rsid w:val="00A96C7E"/>
    <w:rsid w:val="00A96CD0"/>
    <w:rsid w:val="00AA2751"/>
    <w:rsid w:val="00AA339A"/>
    <w:rsid w:val="00AA3CC1"/>
    <w:rsid w:val="00AA3F70"/>
    <w:rsid w:val="00AA4EE9"/>
    <w:rsid w:val="00AA630B"/>
    <w:rsid w:val="00AA6787"/>
    <w:rsid w:val="00AA7236"/>
    <w:rsid w:val="00AA7CF5"/>
    <w:rsid w:val="00AB0912"/>
    <w:rsid w:val="00AB1990"/>
    <w:rsid w:val="00AB1F97"/>
    <w:rsid w:val="00AB2B40"/>
    <w:rsid w:val="00AB34C5"/>
    <w:rsid w:val="00AB491F"/>
    <w:rsid w:val="00AB4C5A"/>
    <w:rsid w:val="00AB4F7B"/>
    <w:rsid w:val="00AB5056"/>
    <w:rsid w:val="00AB5470"/>
    <w:rsid w:val="00AB5527"/>
    <w:rsid w:val="00AB5605"/>
    <w:rsid w:val="00AB6985"/>
    <w:rsid w:val="00AB76BB"/>
    <w:rsid w:val="00AB7F30"/>
    <w:rsid w:val="00AC10D3"/>
    <w:rsid w:val="00AC1A89"/>
    <w:rsid w:val="00AC1F58"/>
    <w:rsid w:val="00AC21CE"/>
    <w:rsid w:val="00AC2FB7"/>
    <w:rsid w:val="00AC470F"/>
    <w:rsid w:val="00AC47DF"/>
    <w:rsid w:val="00AC55AA"/>
    <w:rsid w:val="00AC6BC3"/>
    <w:rsid w:val="00AC74C6"/>
    <w:rsid w:val="00AD0726"/>
    <w:rsid w:val="00AD15AA"/>
    <w:rsid w:val="00AD16D4"/>
    <w:rsid w:val="00AD2164"/>
    <w:rsid w:val="00AD2870"/>
    <w:rsid w:val="00AD399B"/>
    <w:rsid w:val="00AD3EC7"/>
    <w:rsid w:val="00AD4E67"/>
    <w:rsid w:val="00AD4E87"/>
    <w:rsid w:val="00AD57C3"/>
    <w:rsid w:val="00AD6199"/>
    <w:rsid w:val="00AD6336"/>
    <w:rsid w:val="00AD6F2D"/>
    <w:rsid w:val="00AD7656"/>
    <w:rsid w:val="00AE1B51"/>
    <w:rsid w:val="00AE1D76"/>
    <w:rsid w:val="00AE3842"/>
    <w:rsid w:val="00AE3C74"/>
    <w:rsid w:val="00AE4727"/>
    <w:rsid w:val="00AE4FD3"/>
    <w:rsid w:val="00AE50DC"/>
    <w:rsid w:val="00AE5375"/>
    <w:rsid w:val="00AE7C9E"/>
    <w:rsid w:val="00AF1222"/>
    <w:rsid w:val="00AF1591"/>
    <w:rsid w:val="00AF1EE6"/>
    <w:rsid w:val="00AF3690"/>
    <w:rsid w:val="00AF4821"/>
    <w:rsid w:val="00AF5AE0"/>
    <w:rsid w:val="00AF5CC1"/>
    <w:rsid w:val="00AF6125"/>
    <w:rsid w:val="00AF6393"/>
    <w:rsid w:val="00AF7802"/>
    <w:rsid w:val="00B01192"/>
    <w:rsid w:val="00B0201B"/>
    <w:rsid w:val="00B0215F"/>
    <w:rsid w:val="00B02ADE"/>
    <w:rsid w:val="00B043ED"/>
    <w:rsid w:val="00B043EE"/>
    <w:rsid w:val="00B060A0"/>
    <w:rsid w:val="00B0624E"/>
    <w:rsid w:val="00B063FF"/>
    <w:rsid w:val="00B0657D"/>
    <w:rsid w:val="00B06FD2"/>
    <w:rsid w:val="00B10F89"/>
    <w:rsid w:val="00B113A4"/>
    <w:rsid w:val="00B11A11"/>
    <w:rsid w:val="00B12775"/>
    <w:rsid w:val="00B128A9"/>
    <w:rsid w:val="00B13933"/>
    <w:rsid w:val="00B13FAD"/>
    <w:rsid w:val="00B141FC"/>
    <w:rsid w:val="00B15539"/>
    <w:rsid w:val="00B162BC"/>
    <w:rsid w:val="00B17525"/>
    <w:rsid w:val="00B20251"/>
    <w:rsid w:val="00B212D0"/>
    <w:rsid w:val="00B21E98"/>
    <w:rsid w:val="00B22B94"/>
    <w:rsid w:val="00B23106"/>
    <w:rsid w:val="00B23984"/>
    <w:rsid w:val="00B2480B"/>
    <w:rsid w:val="00B250A5"/>
    <w:rsid w:val="00B253D7"/>
    <w:rsid w:val="00B25E13"/>
    <w:rsid w:val="00B26912"/>
    <w:rsid w:val="00B30065"/>
    <w:rsid w:val="00B30319"/>
    <w:rsid w:val="00B30320"/>
    <w:rsid w:val="00B305DC"/>
    <w:rsid w:val="00B3062B"/>
    <w:rsid w:val="00B30638"/>
    <w:rsid w:val="00B30656"/>
    <w:rsid w:val="00B30F36"/>
    <w:rsid w:val="00B31BA2"/>
    <w:rsid w:val="00B32BDF"/>
    <w:rsid w:val="00B32BF6"/>
    <w:rsid w:val="00B331E7"/>
    <w:rsid w:val="00B339E7"/>
    <w:rsid w:val="00B33A13"/>
    <w:rsid w:val="00B33FE7"/>
    <w:rsid w:val="00B341C3"/>
    <w:rsid w:val="00B348BA"/>
    <w:rsid w:val="00B352EC"/>
    <w:rsid w:val="00B36359"/>
    <w:rsid w:val="00B370A5"/>
    <w:rsid w:val="00B37529"/>
    <w:rsid w:val="00B40460"/>
    <w:rsid w:val="00B404AC"/>
    <w:rsid w:val="00B4122A"/>
    <w:rsid w:val="00B4165E"/>
    <w:rsid w:val="00B42225"/>
    <w:rsid w:val="00B439F9"/>
    <w:rsid w:val="00B43B8C"/>
    <w:rsid w:val="00B44221"/>
    <w:rsid w:val="00B450B8"/>
    <w:rsid w:val="00B47445"/>
    <w:rsid w:val="00B507BC"/>
    <w:rsid w:val="00B5151C"/>
    <w:rsid w:val="00B516C0"/>
    <w:rsid w:val="00B51BEE"/>
    <w:rsid w:val="00B53FB4"/>
    <w:rsid w:val="00B54546"/>
    <w:rsid w:val="00B54F75"/>
    <w:rsid w:val="00B551A3"/>
    <w:rsid w:val="00B56AB2"/>
    <w:rsid w:val="00B5718B"/>
    <w:rsid w:val="00B57D84"/>
    <w:rsid w:val="00B601F9"/>
    <w:rsid w:val="00B60D49"/>
    <w:rsid w:val="00B61A1B"/>
    <w:rsid w:val="00B61B58"/>
    <w:rsid w:val="00B620C3"/>
    <w:rsid w:val="00B623BC"/>
    <w:rsid w:val="00B6286D"/>
    <w:rsid w:val="00B630F2"/>
    <w:rsid w:val="00B632A1"/>
    <w:rsid w:val="00B632FF"/>
    <w:rsid w:val="00B63645"/>
    <w:rsid w:val="00B63984"/>
    <w:rsid w:val="00B63993"/>
    <w:rsid w:val="00B63AD3"/>
    <w:rsid w:val="00B63C9C"/>
    <w:rsid w:val="00B6451F"/>
    <w:rsid w:val="00B651A8"/>
    <w:rsid w:val="00B70573"/>
    <w:rsid w:val="00B70F6E"/>
    <w:rsid w:val="00B7123A"/>
    <w:rsid w:val="00B72076"/>
    <w:rsid w:val="00B725E0"/>
    <w:rsid w:val="00B72B80"/>
    <w:rsid w:val="00B7339D"/>
    <w:rsid w:val="00B738FA"/>
    <w:rsid w:val="00B73B2E"/>
    <w:rsid w:val="00B73C38"/>
    <w:rsid w:val="00B74B44"/>
    <w:rsid w:val="00B74D3A"/>
    <w:rsid w:val="00B74D62"/>
    <w:rsid w:val="00B74FBF"/>
    <w:rsid w:val="00B75790"/>
    <w:rsid w:val="00B7594C"/>
    <w:rsid w:val="00B75E22"/>
    <w:rsid w:val="00B76243"/>
    <w:rsid w:val="00B77548"/>
    <w:rsid w:val="00B80E71"/>
    <w:rsid w:val="00B80E9D"/>
    <w:rsid w:val="00B819CA"/>
    <w:rsid w:val="00B8230A"/>
    <w:rsid w:val="00B8391F"/>
    <w:rsid w:val="00B83E7D"/>
    <w:rsid w:val="00B84720"/>
    <w:rsid w:val="00B84B94"/>
    <w:rsid w:val="00B851C8"/>
    <w:rsid w:val="00B851DA"/>
    <w:rsid w:val="00B85681"/>
    <w:rsid w:val="00B86398"/>
    <w:rsid w:val="00B86830"/>
    <w:rsid w:val="00B86910"/>
    <w:rsid w:val="00B86A32"/>
    <w:rsid w:val="00B86AE6"/>
    <w:rsid w:val="00B86C69"/>
    <w:rsid w:val="00B86E1D"/>
    <w:rsid w:val="00B8729B"/>
    <w:rsid w:val="00B9080B"/>
    <w:rsid w:val="00B9107A"/>
    <w:rsid w:val="00B912CA"/>
    <w:rsid w:val="00B91ADA"/>
    <w:rsid w:val="00B944E7"/>
    <w:rsid w:val="00B946EB"/>
    <w:rsid w:val="00B94ACF"/>
    <w:rsid w:val="00B95845"/>
    <w:rsid w:val="00B95F18"/>
    <w:rsid w:val="00B97B09"/>
    <w:rsid w:val="00B97D37"/>
    <w:rsid w:val="00B97EA8"/>
    <w:rsid w:val="00BA159C"/>
    <w:rsid w:val="00BA172C"/>
    <w:rsid w:val="00BA1EAB"/>
    <w:rsid w:val="00BA220F"/>
    <w:rsid w:val="00BA3854"/>
    <w:rsid w:val="00BA3C18"/>
    <w:rsid w:val="00BA4768"/>
    <w:rsid w:val="00BA4834"/>
    <w:rsid w:val="00BA4EF0"/>
    <w:rsid w:val="00BA6067"/>
    <w:rsid w:val="00BA6984"/>
    <w:rsid w:val="00BA6FE8"/>
    <w:rsid w:val="00BA7A6F"/>
    <w:rsid w:val="00BA7AEF"/>
    <w:rsid w:val="00BB06B5"/>
    <w:rsid w:val="00BB0D69"/>
    <w:rsid w:val="00BB24CE"/>
    <w:rsid w:val="00BB2617"/>
    <w:rsid w:val="00BB2D37"/>
    <w:rsid w:val="00BB314C"/>
    <w:rsid w:val="00BB4BCB"/>
    <w:rsid w:val="00BB5001"/>
    <w:rsid w:val="00BB57C0"/>
    <w:rsid w:val="00BB5DAA"/>
    <w:rsid w:val="00BB6001"/>
    <w:rsid w:val="00BB6102"/>
    <w:rsid w:val="00BB75BA"/>
    <w:rsid w:val="00BC05DF"/>
    <w:rsid w:val="00BC0627"/>
    <w:rsid w:val="00BC0E0C"/>
    <w:rsid w:val="00BC3259"/>
    <w:rsid w:val="00BC3973"/>
    <w:rsid w:val="00BC3F53"/>
    <w:rsid w:val="00BC46AB"/>
    <w:rsid w:val="00BC4954"/>
    <w:rsid w:val="00BC603D"/>
    <w:rsid w:val="00BC65E9"/>
    <w:rsid w:val="00BC6B2E"/>
    <w:rsid w:val="00BD0125"/>
    <w:rsid w:val="00BD035B"/>
    <w:rsid w:val="00BD1584"/>
    <w:rsid w:val="00BD17B1"/>
    <w:rsid w:val="00BD2673"/>
    <w:rsid w:val="00BD298F"/>
    <w:rsid w:val="00BD2BC2"/>
    <w:rsid w:val="00BD341C"/>
    <w:rsid w:val="00BD36A7"/>
    <w:rsid w:val="00BD3A57"/>
    <w:rsid w:val="00BD4628"/>
    <w:rsid w:val="00BD5662"/>
    <w:rsid w:val="00BD61E0"/>
    <w:rsid w:val="00BD740D"/>
    <w:rsid w:val="00BD76B5"/>
    <w:rsid w:val="00BD78DE"/>
    <w:rsid w:val="00BD7A58"/>
    <w:rsid w:val="00BD7F61"/>
    <w:rsid w:val="00BE0060"/>
    <w:rsid w:val="00BE052C"/>
    <w:rsid w:val="00BE0B2C"/>
    <w:rsid w:val="00BE0E25"/>
    <w:rsid w:val="00BE0F81"/>
    <w:rsid w:val="00BE18A4"/>
    <w:rsid w:val="00BE1B19"/>
    <w:rsid w:val="00BE32B2"/>
    <w:rsid w:val="00BE3E37"/>
    <w:rsid w:val="00BE4868"/>
    <w:rsid w:val="00BE4B7E"/>
    <w:rsid w:val="00BE5517"/>
    <w:rsid w:val="00BE61CC"/>
    <w:rsid w:val="00BE62AF"/>
    <w:rsid w:val="00BE6702"/>
    <w:rsid w:val="00BE78B1"/>
    <w:rsid w:val="00BF021F"/>
    <w:rsid w:val="00BF02CA"/>
    <w:rsid w:val="00BF275B"/>
    <w:rsid w:val="00BF326A"/>
    <w:rsid w:val="00BF4F90"/>
    <w:rsid w:val="00BF5245"/>
    <w:rsid w:val="00BF5580"/>
    <w:rsid w:val="00BF56C5"/>
    <w:rsid w:val="00BF5E67"/>
    <w:rsid w:val="00BF67F8"/>
    <w:rsid w:val="00BF6BD8"/>
    <w:rsid w:val="00BF6ED9"/>
    <w:rsid w:val="00BF755D"/>
    <w:rsid w:val="00C0068D"/>
    <w:rsid w:val="00C00C5C"/>
    <w:rsid w:val="00C01441"/>
    <w:rsid w:val="00C015A1"/>
    <w:rsid w:val="00C03A4F"/>
    <w:rsid w:val="00C05A3B"/>
    <w:rsid w:val="00C072AD"/>
    <w:rsid w:val="00C07402"/>
    <w:rsid w:val="00C100F8"/>
    <w:rsid w:val="00C10B19"/>
    <w:rsid w:val="00C1218D"/>
    <w:rsid w:val="00C1243A"/>
    <w:rsid w:val="00C12889"/>
    <w:rsid w:val="00C133FF"/>
    <w:rsid w:val="00C1353F"/>
    <w:rsid w:val="00C14792"/>
    <w:rsid w:val="00C147F3"/>
    <w:rsid w:val="00C1515E"/>
    <w:rsid w:val="00C15C62"/>
    <w:rsid w:val="00C15E5F"/>
    <w:rsid w:val="00C16C82"/>
    <w:rsid w:val="00C16E2B"/>
    <w:rsid w:val="00C17274"/>
    <w:rsid w:val="00C17879"/>
    <w:rsid w:val="00C178F1"/>
    <w:rsid w:val="00C17A08"/>
    <w:rsid w:val="00C20BF1"/>
    <w:rsid w:val="00C22AA1"/>
    <w:rsid w:val="00C23633"/>
    <w:rsid w:val="00C23B27"/>
    <w:rsid w:val="00C2423C"/>
    <w:rsid w:val="00C266B1"/>
    <w:rsid w:val="00C27B64"/>
    <w:rsid w:val="00C3004D"/>
    <w:rsid w:val="00C302DD"/>
    <w:rsid w:val="00C303B1"/>
    <w:rsid w:val="00C312E6"/>
    <w:rsid w:val="00C31FC6"/>
    <w:rsid w:val="00C3274D"/>
    <w:rsid w:val="00C33310"/>
    <w:rsid w:val="00C33A7C"/>
    <w:rsid w:val="00C33BED"/>
    <w:rsid w:val="00C34F0E"/>
    <w:rsid w:val="00C3527D"/>
    <w:rsid w:val="00C365DA"/>
    <w:rsid w:val="00C3672C"/>
    <w:rsid w:val="00C36D12"/>
    <w:rsid w:val="00C37DEA"/>
    <w:rsid w:val="00C406C6"/>
    <w:rsid w:val="00C40A9C"/>
    <w:rsid w:val="00C4193A"/>
    <w:rsid w:val="00C42320"/>
    <w:rsid w:val="00C436DB"/>
    <w:rsid w:val="00C43B5B"/>
    <w:rsid w:val="00C457B0"/>
    <w:rsid w:val="00C45E14"/>
    <w:rsid w:val="00C4692C"/>
    <w:rsid w:val="00C46CF6"/>
    <w:rsid w:val="00C46E2B"/>
    <w:rsid w:val="00C46F42"/>
    <w:rsid w:val="00C4761E"/>
    <w:rsid w:val="00C4793C"/>
    <w:rsid w:val="00C47DDD"/>
    <w:rsid w:val="00C51345"/>
    <w:rsid w:val="00C51C06"/>
    <w:rsid w:val="00C5280E"/>
    <w:rsid w:val="00C53A2A"/>
    <w:rsid w:val="00C5447C"/>
    <w:rsid w:val="00C55862"/>
    <w:rsid w:val="00C559C1"/>
    <w:rsid w:val="00C56DFF"/>
    <w:rsid w:val="00C5787D"/>
    <w:rsid w:val="00C60A36"/>
    <w:rsid w:val="00C61590"/>
    <w:rsid w:val="00C618A4"/>
    <w:rsid w:val="00C61AD2"/>
    <w:rsid w:val="00C61D1A"/>
    <w:rsid w:val="00C62C0B"/>
    <w:rsid w:val="00C62E5D"/>
    <w:rsid w:val="00C63792"/>
    <w:rsid w:val="00C64297"/>
    <w:rsid w:val="00C65600"/>
    <w:rsid w:val="00C65938"/>
    <w:rsid w:val="00C660D7"/>
    <w:rsid w:val="00C662F2"/>
    <w:rsid w:val="00C6720E"/>
    <w:rsid w:val="00C7065D"/>
    <w:rsid w:val="00C70796"/>
    <w:rsid w:val="00C70B6F"/>
    <w:rsid w:val="00C714EA"/>
    <w:rsid w:val="00C71676"/>
    <w:rsid w:val="00C71F59"/>
    <w:rsid w:val="00C7234C"/>
    <w:rsid w:val="00C72B76"/>
    <w:rsid w:val="00C73063"/>
    <w:rsid w:val="00C73B36"/>
    <w:rsid w:val="00C74A7C"/>
    <w:rsid w:val="00C75DA0"/>
    <w:rsid w:val="00C76405"/>
    <w:rsid w:val="00C769CC"/>
    <w:rsid w:val="00C76E30"/>
    <w:rsid w:val="00C77DC1"/>
    <w:rsid w:val="00C813E4"/>
    <w:rsid w:val="00C819C6"/>
    <w:rsid w:val="00C825CB"/>
    <w:rsid w:val="00C82B42"/>
    <w:rsid w:val="00C82E24"/>
    <w:rsid w:val="00C83AF1"/>
    <w:rsid w:val="00C83C2E"/>
    <w:rsid w:val="00C8654A"/>
    <w:rsid w:val="00C873CB"/>
    <w:rsid w:val="00C905AA"/>
    <w:rsid w:val="00C91193"/>
    <w:rsid w:val="00C92983"/>
    <w:rsid w:val="00C92DF0"/>
    <w:rsid w:val="00C9306F"/>
    <w:rsid w:val="00C93186"/>
    <w:rsid w:val="00C93B51"/>
    <w:rsid w:val="00C93DDE"/>
    <w:rsid w:val="00C9495E"/>
    <w:rsid w:val="00C965BE"/>
    <w:rsid w:val="00C976F9"/>
    <w:rsid w:val="00C97CF0"/>
    <w:rsid w:val="00CA1B78"/>
    <w:rsid w:val="00CA2EA2"/>
    <w:rsid w:val="00CA37D8"/>
    <w:rsid w:val="00CA3C99"/>
    <w:rsid w:val="00CA416A"/>
    <w:rsid w:val="00CA451F"/>
    <w:rsid w:val="00CA5A1F"/>
    <w:rsid w:val="00CA5D21"/>
    <w:rsid w:val="00CB0DB4"/>
    <w:rsid w:val="00CB0DD2"/>
    <w:rsid w:val="00CB11E1"/>
    <w:rsid w:val="00CB191D"/>
    <w:rsid w:val="00CB372E"/>
    <w:rsid w:val="00CB3C5E"/>
    <w:rsid w:val="00CB4A31"/>
    <w:rsid w:val="00CB4A92"/>
    <w:rsid w:val="00CB519D"/>
    <w:rsid w:val="00CB7C7B"/>
    <w:rsid w:val="00CC0442"/>
    <w:rsid w:val="00CC050A"/>
    <w:rsid w:val="00CC051A"/>
    <w:rsid w:val="00CC0D6A"/>
    <w:rsid w:val="00CC2E72"/>
    <w:rsid w:val="00CC3E39"/>
    <w:rsid w:val="00CC739C"/>
    <w:rsid w:val="00CD0541"/>
    <w:rsid w:val="00CD065C"/>
    <w:rsid w:val="00CD1C43"/>
    <w:rsid w:val="00CD22AF"/>
    <w:rsid w:val="00CD264A"/>
    <w:rsid w:val="00CD2752"/>
    <w:rsid w:val="00CD39EE"/>
    <w:rsid w:val="00CD46B7"/>
    <w:rsid w:val="00CD5DBD"/>
    <w:rsid w:val="00CD60AF"/>
    <w:rsid w:val="00CE03A1"/>
    <w:rsid w:val="00CE0A05"/>
    <w:rsid w:val="00CE0BA2"/>
    <w:rsid w:val="00CE1986"/>
    <w:rsid w:val="00CE26DB"/>
    <w:rsid w:val="00CE3EF5"/>
    <w:rsid w:val="00CE4215"/>
    <w:rsid w:val="00CE516A"/>
    <w:rsid w:val="00CE5773"/>
    <w:rsid w:val="00CE64ED"/>
    <w:rsid w:val="00CE737F"/>
    <w:rsid w:val="00CE7B11"/>
    <w:rsid w:val="00CF0E1B"/>
    <w:rsid w:val="00CF1334"/>
    <w:rsid w:val="00CF146A"/>
    <w:rsid w:val="00CF21D7"/>
    <w:rsid w:val="00CF2B60"/>
    <w:rsid w:val="00CF3545"/>
    <w:rsid w:val="00CF433E"/>
    <w:rsid w:val="00CF45DC"/>
    <w:rsid w:val="00CF4FD3"/>
    <w:rsid w:val="00CF5417"/>
    <w:rsid w:val="00CF7181"/>
    <w:rsid w:val="00CF74D6"/>
    <w:rsid w:val="00CF7B7A"/>
    <w:rsid w:val="00CF7EB0"/>
    <w:rsid w:val="00CF7FF0"/>
    <w:rsid w:val="00D01523"/>
    <w:rsid w:val="00D01BDE"/>
    <w:rsid w:val="00D02861"/>
    <w:rsid w:val="00D03181"/>
    <w:rsid w:val="00D034E1"/>
    <w:rsid w:val="00D046AD"/>
    <w:rsid w:val="00D0502E"/>
    <w:rsid w:val="00D056DD"/>
    <w:rsid w:val="00D064AF"/>
    <w:rsid w:val="00D06FCC"/>
    <w:rsid w:val="00D0706D"/>
    <w:rsid w:val="00D074EB"/>
    <w:rsid w:val="00D07BD5"/>
    <w:rsid w:val="00D07FE6"/>
    <w:rsid w:val="00D1191A"/>
    <w:rsid w:val="00D11DAE"/>
    <w:rsid w:val="00D12CCA"/>
    <w:rsid w:val="00D13435"/>
    <w:rsid w:val="00D134FA"/>
    <w:rsid w:val="00D13FB9"/>
    <w:rsid w:val="00D16079"/>
    <w:rsid w:val="00D16F02"/>
    <w:rsid w:val="00D20281"/>
    <w:rsid w:val="00D20D5E"/>
    <w:rsid w:val="00D20F39"/>
    <w:rsid w:val="00D21348"/>
    <w:rsid w:val="00D22C5C"/>
    <w:rsid w:val="00D24213"/>
    <w:rsid w:val="00D25459"/>
    <w:rsid w:val="00D25B50"/>
    <w:rsid w:val="00D26540"/>
    <w:rsid w:val="00D268CB"/>
    <w:rsid w:val="00D30270"/>
    <w:rsid w:val="00D31CD7"/>
    <w:rsid w:val="00D31DF9"/>
    <w:rsid w:val="00D325C6"/>
    <w:rsid w:val="00D3343E"/>
    <w:rsid w:val="00D335E2"/>
    <w:rsid w:val="00D33B8B"/>
    <w:rsid w:val="00D34217"/>
    <w:rsid w:val="00D3425A"/>
    <w:rsid w:val="00D36BDD"/>
    <w:rsid w:val="00D409AC"/>
    <w:rsid w:val="00D40C83"/>
    <w:rsid w:val="00D4165C"/>
    <w:rsid w:val="00D418D6"/>
    <w:rsid w:val="00D42061"/>
    <w:rsid w:val="00D425BB"/>
    <w:rsid w:val="00D42E38"/>
    <w:rsid w:val="00D4307C"/>
    <w:rsid w:val="00D43B4E"/>
    <w:rsid w:val="00D43BD4"/>
    <w:rsid w:val="00D44A21"/>
    <w:rsid w:val="00D44A7A"/>
    <w:rsid w:val="00D44AD5"/>
    <w:rsid w:val="00D46902"/>
    <w:rsid w:val="00D46A94"/>
    <w:rsid w:val="00D47BA2"/>
    <w:rsid w:val="00D47C2A"/>
    <w:rsid w:val="00D501CA"/>
    <w:rsid w:val="00D510D8"/>
    <w:rsid w:val="00D51B17"/>
    <w:rsid w:val="00D524FE"/>
    <w:rsid w:val="00D52823"/>
    <w:rsid w:val="00D52AB6"/>
    <w:rsid w:val="00D52F02"/>
    <w:rsid w:val="00D53A7C"/>
    <w:rsid w:val="00D541F2"/>
    <w:rsid w:val="00D544FD"/>
    <w:rsid w:val="00D545D5"/>
    <w:rsid w:val="00D54918"/>
    <w:rsid w:val="00D56817"/>
    <w:rsid w:val="00D5735F"/>
    <w:rsid w:val="00D57E0A"/>
    <w:rsid w:val="00D57E7F"/>
    <w:rsid w:val="00D60FBF"/>
    <w:rsid w:val="00D61AFF"/>
    <w:rsid w:val="00D6214F"/>
    <w:rsid w:val="00D62819"/>
    <w:rsid w:val="00D62D11"/>
    <w:rsid w:val="00D6373D"/>
    <w:rsid w:val="00D64B73"/>
    <w:rsid w:val="00D65427"/>
    <w:rsid w:val="00D65BC3"/>
    <w:rsid w:val="00D66E09"/>
    <w:rsid w:val="00D67889"/>
    <w:rsid w:val="00D7016A"/>
    <w:rsid w:val="00D707C5"/>
    <w:rsid w:val="00D70DD5"/>
    <w:rsid w:val="00D7407F"/>
    <w:rsid w:val="00D7420A"/>
    <w:rsid w:val="00D74931"/>
    <w:rsid w:val="00D75B9B"/>
    <w:rsid w:val="00D76D47"/>
    <w:rsid w:val="00D77E2D"/>
    <w:rsid w:val="00D807C4"/>
    <w:rsid w:val="00D80883"/>
    <w:rsid w:val="00D80D65"/>
    <w:rsid w:val="00D81DED"/>
    <w:rsid w:val="00D826E3"/>
    <w:rsid w:val="00D82F3A"/>
    <w:rsid w:val="00D83037"/>
    <w:rsid w:val="00D83254"/>
    <w:rsid w:val="00D83DAE"/>
    <w:rsid w:val="00D84056"/>
    <w:rsid w:val="00D84FF6"/>
    <w:rsid w:val="00D85ACA"/>
    <w:rsid w:val="00D85EE1"/>
    <w:rsid w:val="00D86DA0"/>
    <w:rsid w:val="00D8764E"/>
    <w:rsid w:val="00D876AE"/>
    <w:rsid w:val="00D87B94"/>
    <w:rsid w:val="00D902C2"/>
    <w:rsid w:val="00D9274F"/>
    <w:rsid w:val="00D93A57"/>
    <w:rsid w:val="00D93CF2"/>
    <w:rsid w:val="00D93E69"/>
    <w:rsid w:val="00D93FAD"/>
    <w:rsid w:val="00DA0FD8"/>
    <w:rsid w:val="00DA1A00"/>
    <w:rsid w:val="00DA25D5"/>
    <w:rsid w:val="00DA2AF8"/>
    <w:rsid w:val="00DA2D5A"/>
    <w:rsid w:val="00DA2F32"/>
    <w:rsid w:val="00DA3C59"/>
    <w:rsid w:val="00DA4336"/>
    <w:rsid w:val="00DA4355"/>
    <w:rsid w:val="00DA4F19"/>
    <w:rsid w:val="00DA4FE2"/>
    <w:rsid w:val="00DA5384"/>
    <w:rsid w:val="00DA5822"/>
    <w:rsid w:val="00DA609A"/>
    <w:rsid w:val="00DB036E"/>
    <w:rsid w:val="00DB0EA9"/>
    <w:rsid w:val="00DB19A3"/>
    <w:rsid w:val="00DB3822"/>
    <w:rsid w:val="00DB3872"/>
    <w:rsid w:val="00DB4C9C"/>
    <w:rsid w:val="00DB4F41"/>
    <w:rsid w:val="00DB57C7"/>
    <w:rsid w:val="00DB5A36"/>
    <w:rsid w:val="00DB651F"/>
    <w:rsid w:val="00DB6AB6"/>
    <w:rsid w:val="00DB6F53"/>
    <w:rsid w:val="00DB70FE"/>
    <w:rsid w:val="00DC0029"/>
    <w:rsid w:val="00DC1378"/>
    <w:rsid w:val="00DC235E"/>
    <w:rsid w:val="00DC2B17"/>
    <w:rsid w:val="00DC2F22"/>
    <w:rsid w:val="00DC3849"/>
    <w:rsid w:val="00DC3A10"/>
    <w:rsid w:val="00DC4074"/>
    <w:rsid w:val="00DC414F"/>
    <w:rsid w:val="00DC456C"/>
    <w:rsid w:val="00DC4C1A"/>
    <w:rsid w:val="00DC6756"/>
    <w:rsid w:val="00DC6ABB"/>
    <w:rsid w:val="00DC71E7"/>
    <w:rsid w:val="00DC758E"/>
    <w:rsid w:val="00DD1052"/>
    <w:rsid w:val="00DD2151"/>
    <w:rsid w:val="00DD299F"/>
    <w:rsid w:val="00DD359A"/>
    <w:rsid w:val="00DD45E2"/>
    <w:rsid w:val="00DD474E"/>
    <w:rsid w:val="00DD4BAA"/>
    <w:rsid w:val="00DD65FB"/>
    <w:rsid w:val="00DD7636"/>
    <w:rsid w:val="00DE06A2"/>
    <w:rsid w:val="00DE1876"/>
    <w:rsid w:val="00DE23DB"/>
    <w:rsid w:val="00DE469A"/>
    <w:rsid w:val="00DE4AC4"/>
    <w:rsid w:val="00DE4C3F"/>
    <w:rsid w:val="00DE4EE8"/>
    <w:rsid w:val="00DE5D43"/>
    <w:rsid w:val="00DE5EE8"/>
    <w:rsid w:val="00DE6D38"/>
    <w:rsid w:val="00DF1502"/>
    <w:rsid w:val="00DF343F"/>
    <w:rsid w:val="00DF3690"/>
    <w:rsid w:val="00DF4010"/>
    <w:rsid w:val="00DF48E3"/>
    <w:rsid w:val="00DF5564"/>
    <w:rsid w:val="00DF66C9"/>
    <w:rsid w:val="00DF7864"/>
    <w:rsid w:val="00DF7C9F"/>
    <w:rsid w:val="00E001DB"/>
    <w:rsid w:val="00E00A12"/>
    <w:rsid w:val="00E01C58"/>
    <w:rsid w:val="00E02968"/>
    <w:rsid w:val="00E03435"/>
    <w:rsid w:val="00E034F6"/>
    <w:rsid w:val="00E0482D"/>
    <w:rsid w:val="00E05282"/>
    <w:rsid w:val="00E065EF"/>
    <w:rsid w:val="00E06FAA"/>
    <w:rsid w:val="00E110E8"/>
    <w:rsid w:val="00E1111E"/>
    <w:rsid w:val="00E11CA5"/>
    <w:rsid w:val="00E1223D"/>
    <w:rsid w:val="00E12C36"/>
    <w:rsid w:val="00E133D4"/>
    <w:rsid w:val="00E1346F"/>
    <w:rsid w:val="00E136F2"/>
    <w:rsid w:val="00E13973"/>
    <w:rsid w:val="00E13B30"/>
    <w:rsid w:val="00E14B1C"/>
    <w:rsid w:val="00E15566"/>
    <w:rsid w:val="00E158D3"/>
    <w:rsid w:val="00E1653C"/>
    <w:rsid w:val="00E16CB5"/>
    <w:rsid w:val="00E203E9"/>
    <w:rsid w:val="00E2054C"/>
    <w:rsid w:val="00E21008"/>
    <w:rsid w:val="00E211DC"/>
    <w:rsid w:val="00E21881"/>
    <w:rsid w:val="00E2189C"/>
    <w:rsid w:val="00E2189D"/>
    <w:rsid w:val="00E226FA"/>
    <w:rsid w:val="00E22C07"/>
    <w:rsid w:val="00E23F1D"/>
    <w:rsid w:val="00E24083"/>
    <w:rsid w:val="00E24AB1"/>
    <w:rsid w:val="00E25C88"/>
    <w:rsid w:val="00E26FC0"/>
    <w:rsid w:val="00E27575"/>
    <w:rsid w:val="00E27762"/>
    <w:rsid w:val="00E27832"/>
    <w:rsid w:val="00E27DDE"/>
    <w:rsid w:val="00E302EA"/>
    <w:rsid w:val="00E31F94"/>
    <w:rsid w:val="00E3236E"/>
    <w:rsid w:val="00E32502"/>
    <w:rsid w:val="00E327B5"/>
    <w:rsid w:val="00E331D7"/>
    <w:rsid w:val="00E3520E"/>
    <w:rsid w:val="00E35943"/>
    <w:rsid w:val="00E35962"/>
    <w:rsid w:val="00E40258"/>
    <w:rsid w:val="00E4223C"/>
    <w:rsid w:val="00E42700"/>
    <w:rsid w:val="00E45309"/>
    <w:rsid w:val="00E459D3"/>
    <w:rsid w:val="00E45D4A"/>
    <w:rsid w:val="00E46AC2"/>
    <w:rsid w:val="00E47B91"/>
    <w:rsid w:val="00E47DF3"/>
    <w:rsid w:val="00E5210A"/>
    <w:rsid w:val="00E52D44"/>
    <w:rsid w:val="00E54F9B"/>
    <w:rsid w:val="00E55CD2"/>
    <w:rsid w:val="00E566A5"/>
    <w:rsid w:val="00E56C70"/>
    <w:rsid w:val="00E56ED0"/>
    <w:rsid w:val="00E56F62"/>
    <w:rsid w:val="00E5750B"/>
    <w:rsid w:val="00E57D6A"/>
    <w:rsid w:val="00E61D3C"/>
    <w:rsid w:val="00E629FC"/>
    <w:rsid w:val="00E632B7"/>
    <w:rsid w:val="00E658CD"/>
    <w:rsid w:val="00E66F4B"/>
    <w:rsid w:val="00E67070"/>
    <w:rsid w:val="00E678BC"/>
    <w:rsid w:val="00E67EFE"/>
    <w:rsid w:val="00E70930"/>
    <w:rsid w:val="00E70E4B"/>
    <w:rsid w:val="00E724AC"/>
    <w:rsid w:val="00E732D7"/>
    <w:rsid w:val="00E73869"/>
    <w:rsid w:val="00E73C0B"/>
    <w:rsid w:val="00E73F00"/>
    <w:rsid w:val="00E74B5D"/>
    <w:rsid w:val="00E75601"/>
    <w:rsid w:val="00E75B63"/>
    <w:rsid w:val="00E75F5E"/>
    <w:rsid w:val="00E765F5"/>
    <w:rsid w:val="00E77A30"/>
    <w:rsid w:val="00E77C17"/>
    <w:rsid w:val="00E77DC2"/>
    <w:rsid w:val="00E80DAC"/>
    <w:rsid w:val="00E814CD"/>
    <w:rsid w:val="00E817B7"/>
    <w:rsid w:val="00E834A9"/>
    <w:rsid w:val="00E8449C"/>
    <w:rsid w:val="00E84C43"/>
    <w:rsid w:val="00E85432"/>
    <w:rsid w:val="00E8583B"/>
    <w:rsid w:val="00E87A8A"/>
    <w:rsid w:val="00E87E9E"/>
    <w:rsid w:val="00E90746"/>
    <w:rsid w:val="00E91E29"/>
    <w:rsid w:val="00E928E2"/>
    <w:rsid w:val="00E9325F"/>
    <w:rsid w:val="00E934AD"/>
    <w:rsid w:val="00E9411A"/>
    <w:rsid w:val="00E95984"/>
    <w:rsid w:val="00E96257"/>
    <w:rsid w:val="00E9658D"/>
    <w:rsid w:val="00E97146"/>
    <w:rsid w:val="00E97156"/>
    <w:rsid w:val="00E97AED"/>
    <w:rsid w:val="00E97FCA"/>
    <w:rsid w:val="00EA0FF9"/>
    <w:rsid w:val="00EA269D"/>
    <w:rsid w:val="00EA2E8D"/>
    <w:rsid w:val="00EA3604"/>
    <w:rsid w:val="00EA479F"/>
    <w:rsid w:val="00EA485D"/>
    <w:rsid w:val="00EA4ADA"/>
    <w:rsid w:val="00EA4B27"/>
    <w:rsid w:val="00EA5BA3"/>
    <w:rsid w:val="00EA77EA"/>
    <w:rsid w:val="00EA78A4"/>
    <w:rsid w:val="00EB06C9"/>
    <w:rsid w:val="00EB3B00"/>
    <w:rsid w:val="00EB43FA"/>
    <w:rsid w:val="00EB482E"/>
    <w:rsid w:val="00EB4E7D"/>
    <w:rsid w:val="00EB54B2"/>
    <w:rsid w:val="00EB5F5F"/>
    <w:rsid w:val="00EB7793"/>
    <w:rsid w:val="00EB78B6"/>
    <w:rsid w:val="00EB7C25"/>
    <w:rsid w:val="00EC0D89"/>
    <w:rsid w:val="00EC1075"/>
    <w:rsid w:val="00EC2B63"/>
    <w:rsid w:val="00EC2DC3"/>
    <w:rsid w:val="00EC3AF1"/>
    <w:rsid w:val="00EC3CAE"/>
    <w:rsid w:val="00EC6237"/>
    <w:rsid w:val="00EC672F"/>
    <w:rsid w:val="00EC7C60"/>
    <w:rsid w:val="00ED00F5"/>
    <w:rsid w:val="00ED056F"/>
    <w:rsid w:val="00ED084A"/>
    <w:rsid w:val="00ED0B27"/>
    <w:rsid w:val="00ED0C4D"/>
    <w:rsid w:val="00ED0D51"/>
    <w:rsid w:val="00ED16C6"/>
    <w:rsid w:val="00ED1ECF"/>
    <w:rsid w:val="00ED277F"/>
    <w:rsid w:val="00ED28C6"/>
    <w:rsid w:val="00ED2A1C"/>
    <w:rsid w:val="00ED3E86"/>
    <w:rsid w:val="00ED482C"/>
    <w:rsid w:val="00ED50E0"/>
    <w:rsid w:val="00ED6D94"/>
    <w:rsid w:val="00ED7A90"/>
    <w:rsid w:val="00EE0AEA"/>
    <w:rsid w:val="00EE194F"/>
    <w:rsid w:val="00EE2884"/>
    <w:rsid w:val="00EE2AA7"/>
    <w:rsid w:val="00EE3015"/>
    <w:rsid w:val="00EE3253"/>
    <w:rsid w:val="00EE36E0"/>
    <w:rsid w:val="00EE4122"/>
    <w:rsid w:val="00EE5970"/>
    <w:rsid w:val="00EE6180"/>
    <w:rsid w:val="00EE6454"/>
    <w:rsid w:val="00EE6DF3"/>
    <w:rsid w:val="00EF057F"/>
    <w:rsid w:val="00EF148C"/>
    <w:rsid w:val="00EF15BD"/>
    <w:rsid w:val="00EF26B1"/>
    <w:rsid w:val="00EF2D65"/>
    <w:rsid w:val="00EF33B6"/>
    <w:rsid w:val="00EF4856"/>
    <w:rsid w:val="00EF5301"/>
    <w:rsid w:val="00EF53E5"/>
    <w:rsid w:val="00EF63E2"/>
    <w:rsid w:val="00EF645A"/>
    <w:rsid w:val="00EF6559"/>
    <w:rsid w:val="00EF6B93"/>
    <w:rsid w:val="00F009AD"/>
    <w:rsid w:val="00F011FD"/>
    <w:rsid w:val="00F0127E"/>
    <w:rsid w:val="00F01B82"/>
    <w:rsid w:val="00F0304A"/>
    <w:rsid w:val="00F03B8C"/>
    <w:rsid w:val="00F05653"/>
    <w:rsid w:val="00F06C65"/>
    <w:rsid w:val="00F10398"/>
    <w:rsid w:val="00F10880"/>
    <w:rsid w:val="00F11A10"/>
    <w:rsid w:val="00F12D93"/>
    <w:rsid w:val="00F137B7"/>
    <w:rsid w:val="00F13B5A"/>
    <w:rsid w:val="00F144ED"/>
    <w:rsid w:val="00F14729"/>
    <w:rsid w:val="00F166A2"/>
    <w:rsid w:val="00F17104"/>
    <w:rsid w:val="00F200A3"/>
    <w:rsid w:val="00F20191"/>
    <w:rsid w:val="00F20EAE"/>
    <w:rsid w:val="00F23801"/>
    <w:rsid w:val="00F239A5"/>
    <w:rsid w:val="00F25223"/>
    <w:rsid w:val="00F26909"/>
    <w:rsid w:val="00F30121"/>
    <w:rsid w:val="00F3017D"/>
    <w:rsid w:val="00F3069A"/>
    <w:rsid w:val="00F30E40"/>
    <w:rsid w:val="00F31778"/>
    <w:rsid w:val="00F31B8D"/>
    <w:rsid w:val="00F32908"/>
    <w:rsid w:val="00F33BAC"/>
    <w:rsid w:val="00F3430C"/>
    <w:rsid w:val="00F34468"/>
    <w:rsid w:val="00F35843"/>
    <w:rsid w:val="00F36383"/>
    <w:rsid w:val="00F37D26"/>
    <w:rsid w:val="00F37F57"/>
    <w:rsid w:val="00F41718"/>
    <w:rsid w:val="00F41779"/>
    <w:rsid w:val="00F42986"/>
    <w:rsid w:val="00F4329A"/>
    <w:rsid w:val="00F43F6C"/>
    <w:rsid w:val="00F441EA"/>
    <w:rsid w:val="00F443FB"/>
    <w:rsid w:val="00F44428"/>
    <w:rsid w:val="00F4491E"/>
    <w:rsid w:val="00F44949"/>
    <w:rsid w:val="00F44C0F"/>
    <w:rsid w:val="00F44FF1"/>
    <w:rsid w:val="00F455E8"/>
    <w:rsid w:val="00F46DD3"/>
    <w:rsid w:val="00F47581"/>
    <w:rsid w:val="00F47B7A"/>
    <w:rsid w:val="00F5068C"/>
    <w:rsid w:val="00F510DE"/>
    <w:rsid w:val="00F5213C"/>
    <w:rsid w:val="00F53199"/>
    <w:rsid w:val="00F55534"/>
    <w:rsid w:val="00F55EB3"/>
    <w:rsid w:val="00F565E0"/>
    <w:rsid w:val="00F565F3"/>
    <w:rsid w:val="00F5696E"/>
    <w:rsid w:val="00F57FD0"/>
    <w:rsid w:val="00F61791"/>
    <w:rsid w:val="00F61C5F"/>
    <w:rsid w:val="00F625BD"/>
    <w:rsid w:val="00F63F6D"/>
    <w:rsid w:val="00F64FDD"/>
    <w:rsid w:val="00F6578C"/>
    <w:rsid w:val="00F66449"/>
    <w:rsid w:val="00F66F0C"/>
    <w:rsid w:val="00F6700D"/>
    <w:rsid w:val="00F670CD"/>
    <w:rsid w:val="00F67290"/>
    <w:rsid w:val="00F70FDE"/>
    <w:rsid w:val="00F7191A"/>
    <w:rsid w:val="00F73139"/>
    <w:rsid w:val="00F732CA"/>
    <w:rsid w:val="00F73608"/>
    <w:rsid w:val="00F75326"/>
    <w:rsid w:val="00F76190"/>
    <w:rsid w:val="00F764D6"/>
    <w:rsid w:val="00F76B8F"/>
    <w:rsid w:val="00F76FE2"/>
    <w:rsid w:val="00F771AB"/>
    <w:rsid w:val="00F77655"/>
    <w:rsid w:val="00F77CCE"/>
    <w:rsid w:val="00F804ED"/>
    <w:rsid w:val="00F80BB1"/>
    <w:rsid w:val="00F812EE"/>
    <w:rsid w:val="00F8231A"/>
    <w:rsid w:val="00F8320F"/>
    <w:rsid w:val="00F83297"/>
    <w:rsid w:val="00F84EB5"/>
    <w:rsid w:val="00F850E8"/>
    <w:rsid w:val="00F86263"/>
    <w:rsid w:val="00F86B83"/>
    <w:rsid w:val="00F87107"/>
    <w:rsid w:val="00F875DC"/>
    <w:rsid w:val="00F87738"/>
    <w:rsid w:val="00F9111A"/>
    <w:rsid w:val="00F9244F"/>
    <w:rsid w:val="00F924E8"/>
    <w:rsid w:val="00F928E8"/>
    <w:rsid w:val="00F933F0"/>
    <w:rsid w:val="00F93D9C"/>
    <w:rsid w:val="00F93E3E"/>
    <w:rsid w:val="00F941BA"/>
    <w:rsid w:val="00F94D70"/>
    <w:rsid w:val="00F95399"/>
    <w:rsid w:val="00F9603E"/>
    <w:rsid w:val="00F96174"/>
    <w:rsid w:val="00FA0FE8"/>
    <w:rsid w:val="00FA24D7"/>
    <w:rsid w:val="00FA2E40"/>
    <w:rsid w:val="00FA372E"/>
    <w:rsid w:val="00FA383F"/>
    <w:rsid w:val="00FA3BD2"/>
    <w:rsid w:val="00FA46D1"/>
    <w:rsid w:val="00FA48A9"/>
    <w:rsid w:val="00FA5607"/>
    <w:rsid w:val="00FA5B94"/>
    <w:rsid w:val="00FA6213"/>
    <w:rsid w:val="00FA76AD"/>
    <w:rsid w:val="00FB000C"/>
    <w:rsid w:val="00FB0271"/>
    <w:rsid w:val="00FB1A13"/>
    <w:rsid w:val="00FB1A32"/>
    <w:rsid w:val="00FB1AE9"/>
    <w:rsid w:val="00FB205B"/>
    <w:rsid w:val="00FB224C"/>
    <w:rsid w:val="00FB2CBB"/>
    <w:rsid w:val="00FB4C2D"/>
    <w:rsid w:val="00FB50A7"/>
    <w:rsid w:val="00FB5461"/>
    <w:rsid w:val="00FB573F"/>
    <w:rsid w:val="00FB69F5"/>
    <w:rsid w:val="00FB6D12"/>
    <w:rsid w:val="00FB70DE"/>
    <w:rsid w:val="00FB75A1"/>
    <w:rsid w:val="00FB79F8"/>
    <w:rsid w:val="00FC04CB"/>
    <w:rsid w:val="00FC09B0"/>
    <w:rsid w:val="00FC1AD3"/>
    <w:rsid w:val="00FC1B76"/>
    <w:rsid w:val="00FC2575"/>
    <w:rsid w:val="00FC322F"/>
    <w:rsid w:val="00FC3B64"/>
    <w:rsid w:val="00FC4A35"/>
    <w:rsid w:val="00FC54E9"/>
    <w:rsid w:val="00FC5E91"/>
    <w:rsid w:val="00FC6475"/>
    <w:rsid w:val="00FD0590"/>
    <w:rsid w:val="00FD0B33"/>
    <w:rsid w:val="00FD118C"/>
    <w:rsid w:val="00FD19C8"/>
    <w:rsid w:val="00FD19D4"/>
    <w:rsid w:val="00FD1CB0"/>
    <w:rsid w:val="00FD1D82"/>
    <w:rsid w:val="00FD291C"/>
    <w:rsid w:val="00FD31D7"/>
    <w:rsid w:val="00FD3461"/>
    <w:rsid w:val="00FD5259"/>
    <w:rsid w:val="00FD686E"/>
    <w:rsid w:val="00FD7264"/>
    <w:rsid w:val="00FD75E4"/>
    <w:rsid w:val="00FD7A9F"/>
    <w:rsid w:val="00FE0DD9"/>
    <w:rsid w:val="00FE119F"/>
    <w:rsid w:val="00FE1BBC"/>
    <w:rsid w:val="00FE6507"/>
    <w:rsid w:val="00FE6535"/>
    <w:rsid w:val="00FE6C3C"/>
    <w:rsid w:val="00FE6CAA"/>
    <w:rsid w:val="00FE71D5"/>
    <w:rsid w:val="00FF00FB"/>
    <w:rsid w:val="00FF1583"/>
    <w:rsid w:val="00FF1846"/>
    <w:rsid w:val="00FF1861"/>
    <w:rsid w:val="00FF258E"/>
    <w:rsid w:val="00FF3094"/>
    <w:rsid w:val="00FF3D9C"/>
    <w:rsid w:val="00FF4DFD"/>
    <w:rsid w:val="00FF55BC"/>
    <w:rsid w:val="00FF58A5"/>
    <w:rsid w:val="00FF635A"/>
    <w:rsid w:val="00FF767E"/>
    <w:rsid w:val="00FF7B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GB" w:eastAsia="en-US" w:bidi="ar-SA"/>
      </w:rPr>
    </w:rPrDefault>
    <w:pPrDefault>
      <w:pPr>
        <w:ind w:right="38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Bullet 1,MAIN CONTENT,List Paragraph12,F5 List Paragraph"/>
    <w:basedOn w:val="Normal"/>
    <w:link w:val="ListParagraphChar"/>
    <w:qFormat/>
    <w:rsid w:val="00DE5EE8"/>
    <w:pPr>
      <w:spacing w:after="160"/>
      <w:ind w:left="720" w:right="0"/>
      <w:contextualSpacing/>
    </w:pPr>
    <w:rPr>
      <w:rFonts w:ascii="Arial" w:eastAsia="Times New Roman" w:hAnsi="Arial"/>
      <w:bCs/>
      <w:sz w:val="20"/>
      <w:lang w:eastAsia="de-DE"/>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locked/>
    <w:rsid w:val="00DE5EE8"/>
    <w:rPr>
      <w:rFonts w:ascii="Arial" w:eastAsia="Times New Roman" w:hAnsi="Arial"/>
      <w:bCs/>
      <w:sz w:val="20"/>
      <w:lang w:eastAsia="de-DE"/>
    </w:rPr>
  </w:style>
  <w:style w:type="paragraph" w:styleId="BodyText">
    <w:name w:val="Body Text"/>
    <w:basedOn w:val="Normal"/>
    <w:link w:val="BodyTextChar"/>
    <w:unhideWhenUsed/>
    <w:rsid w:val="00D44A21"/>
    <w:pPr>
      <w:ind w:right="0"/>
      <w:jc w:val="both"/>
    </w:pPr>
    <w:rPr>
      <w:rFonts w:ascii="Times" w:eastAsia="Times" w:hAnsi="Times"/>
    </w:rPr>
  </w:style>
  <w:style w:type="character" w:customStyle="1" w:styleId="BodyTextChar">
    <w:name w:val="Body Text Char"/>
    <w:basedOn w:val="DefaultParagraphFont"/>
    <w:link w:val="BodyText"/>
    <w:rsid w:val="00D44A21"/>
    <w:rPr>
      <w:rFonts w:ascii="Times" w:eastAsia="Times" w:hAnsi="Times"/>
    </w:rPr>
  </w:style>
  <w:style w:type="paragraph" w:styleId="BodyText3">
    <w:name w:val="Body Text 3"/>
    <w:basedOn w:val="Normal"/>
    <w:link w:val="BodyText3Char"/>
    <w:rsid w:val="00326487"/>
    <w:pPr>
      <w:spacing w:after="120"/>
      <w:ind w:right="0"/>
    </w:pPr>
    <w:rPr>
      <w:rFonts w:eastAsia="SimSun"/>
      <w:sz w:val="16"/>
      <w:szCs w:val="16"/>
      <w:lang w:eastAsia="en-GB"/>
    </w:rPr>
  </w:style>
  <w:style w:type="character" w:customStyle="1" w:styleId="BodyText3Char">
    <w:name w:val="Body Text 3 Char"/>
    <w:basedOn w:val="DefaultParagraphFont"/>
    <w:link w:val="BodyText3"/>
    <w:rsid w:val="00326487"/>
    <w:rPr>
      <w:rFonts w:eastAsia="SimSun"/>
      <w:sz w:val="16"/>
      <w:szCs w:val="16"/>
      <w:lang w:eastAsia="en-GB"/>
    </w:rPr>
  </w:style>
  <w:style w:type="paragraph" w:styleId="FootnoteText">
    <w:name w:val="footnote text"/>
    <w:basedOn w:val="Normal"/>
    <w:link w:val="FootnoteTextChar"/>
    <w:unhideWhenUsed/>
    <w:qFormat/>
    <w:rsid w:val="00BD5662"/>
    <w:rPr>
      <w:sz w:val="20"/>
    </w:rPr>
  </w:style>
  <w:style w:type="character" w:customStyle="1" w:styleId="FootnoteTextChar">
    <w:name w:val="Footnote Text Char"/>
    <w:basedOn w:val="DefaultParagraphFont"/>
    <w:link w:val="FootnoteText"/>
    <w:uiPriority w:val="99"/>
    <w:rsid w:val="00BD5662"/>
    <w:rPr>
      <w:sz w:val="20"/>
    </w:rPr>
  </w:style>
  <w:style w:type="character" w:styleId="FootnoteReference">
    <w:name w:val="footnote reference"/>
    <w:aliases w:val="Footnote symbol"/>
    <w:basedOn w:val="DefaultParagraphFont"/>
    <w:unhideWhenUsed/>
    <w:rsid w:val="00BD5662"/>
    <w:rPr>
      <w:vertAlign w:val="superscript"/>
    </w:rPr>
  </w:style>
  <w:style w:type="paragraph" w:styleId="Header">
    <w:name w:val="header"/>
    <w:basedOn w:val="Normal"/>
    <w:link w:val="HeaderChar"/>
    <w:uiPriority w:val="99"/>
    <w:semiHidden/>
    <w:unhideWhenUsed/>
    <w:rsid w:val="009E4D78"/>
    <w:pPr>
      <w:tabs>
        <w:tab w:val="center" w:pos="4513"/>
        <w:tab w:val="right" w:pos="9026"/>
      </w:tabs>
    </w:pPr>
  </w:style>
  <w:style w:type="character" w:customStyle="1" w:styleId="HeaderChar">
    <w:name w:val="Header Char"/>
    <w:basedOn w:val="DefaultParagraphFont"/>
    <w:link w:val="Header"/>
    <w:uiPriority w:val="99"/>
    <w:semiHidden/>
    <w:rsid w:val="009E4D78"/>
  </w:style>
  <w:style w:type="paragraph" w:styleId="Footer">
    <w:name w:val="footer"/>
    <w:basedOn w:val="Normal"/>
    <w:link w:val="FooterChar"/>
    <w:uiPriority w:val="99"/>
    <w:unhideWhenUsed/>
    <w:rsid w:val="009E4D78"/>
    <w:pPr>
      <w:tabs>
        <w:tab w:val="center" w:pos="4513"/>
        <w:tab w:val="right" w:pos="9026"/>
      </w:tabs>
    </w:pPr>
  </w:style>
  <w:style w:type="character" w:customStyle="1" w:styleId="FooterChar">
    <w:name w:val="Footer Char"/>
    <w:basedOn w:val="DefaultParagraphFont"/>
    <w:link w:val="Footer"/>
    <w:uiPriority w:val="99"/>
    <w:rsid w:val="009E4D78"/>
  </w:style>
  <w:style w:type="character" w:styleId="Hyperlink">
    <w:name w:val="Hyperlink"/>
    <w:basedOn w:val="DefaultParagraphFont"/>
    <w:uiPriority w:val="99"/>
    <w:unhideWhenUsed/>
    <w:rsid w:val="00952337"/>
    <w:rPr>
      <w:color w:val="0000FF" w:themeColor="hyperlink"/>
      <w:u w:val="single"/>
    </w:rPr>
  </w:style>
  <w:style w:type="paragraph" w:customStyle="1" w:styleId="Default">
    <w:name w:val="Default"/>
    <w:rsid w:val="00CF45DC"/>
    <w:pPr>
      <w:autoSpaceDE w:val="0"/>
      <w:autoSpaceDN w:val="0"/>
      <w:adjustRightInd w:val="0"/>
      <w:ind w:right="0"/>
    </w:pPr>
    <w:rPr>
      <w:rFonts w:ascii="Arial" w:hAnsi="Arial" w:cs="Arial"/>
      <w:color w:val="000000"/>
      <w:szCs w:val="24"/>
    </w:rPr>
  </w:style>
  <w:style w:type="paragraph" w:styleId="BalloonText">
    <w:name w:val="Balloon Text"/>
    <w:basedOn w:val="Normal"/>
    <w:link w:val="BalloonTextChar"/>
    <w:uiPriority w:val="99"/>
    <w:semiHidden/>
    <w:unhideWhenUsed/>
    <w:rsid w:val="001D3421"/>
    <w:rPr>
      <w:rFonts w:ascii="Tahoma" w:hAnsi="Tahoma" w:cs="Tahoma"/>
      <w:sz w:val="16"/>
      <w:szCs w:val="16"/>
    </w:rPr>
  </w:style>
  <w:style w:type="character" w:customStyle="1" w:styleId="BalloonTextChar">
    <w:name w:val="Balloon Text Char"/>
    <w:basedOn w:val="DefaultParagraphFont"/>
    <w:link w:val="BalloonText"/>
    <w:uiPriority w:val="99"/>
    <w:semiHidden/>
    <w:rsid w:val="001D34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ffield.ox.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wiserd.ac.uk" TargetMode="External"/><Relationship Id="rId1" Type="http://schemas.openxmlformats.org/officeDocument/2006/relationships/hyperlink" Target="http://www.cardiff.ac.uk/socsi/ses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AFC6E-53D8-4B2F-9885-F99B925B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3564</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23838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Alan's PC</dc:creator>
  <cp:lastModifiedBy>Alan's PC</cp:lastModifiedBy>
  <cp:revision>5</cp:revision>
  <cp:lastPrinted>2013-01-28T14:31:00Z</cp:lastPrinted>
  <dcterms:created xsi:type="dcterms:W3CDTF">2014-05-19T09:38:00Z</dcterms:created>
  <dcterms:modified xsi:type="dcterms:W3CDTF">2014-05-19T10:01:00Z</dcterms:modified>
</cp:coreProperties>
</file>