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B9A8A" w14:textId="77777777" w:rsidR="009D125D" w:rsidRDefault="001B505D" w:rsidP="001B505D">
      <w:pPr>
        <w:rPr>
          <w:rFonts w:eastAsiaTheme="minorHAnsi" w:cs="Arial"/>
          <w:b/>
          <w:szCs w:val="22"/>
        </w:rPr>
      </w:pPr>
      <w:r>
        <w:rPr>
          <w:rFonts w:eastAsiaTheme="minorHAnsi" w:cs="Arial"/>
          <w:b/>
          <w:szCs w:val="22"/>
        </w:rPr>
        <w:t xml:space="preserve">Safeguarding </w:t>
      </w:r>
      <w:r w:rsidR="009D125D">
        <w:rPr>
          <w:rFonts w:eastAsiaTheme="minorHAnsi" w:cs="Arial"/>
          <w:b/>
          <w:szCs w:val="22"/>
        </w:rPr>
        <w:t>Children and Adults at Risk: Guidance Note 4</w:t>
      </w:r>
    </w:p>
    <w:p w14:paraId="2A018C9D" w14:textId="77777777" w:rsidR="009D125D" w:rsidRDefault="009D125D" w:rsidP="001B505D">
      <w:pPr>
        <w:rPr>
          <w:rFonts w:eastAsiaTheme="minorHAnsi" w:cs="Arial"/>
          <w:b/>
          <w:szCs w:val="22"/>
        </w:rPr>
      </w:pPr>
    </w:p>
    <w:p w14:paraId="7E244445" w14:textId="383A2746" w:rsidR="001B505D" w:rsidRDefault="009D125D" w:rsidP="001B505D">
      <w:pPr>
        <w:rPr>
          <w:rFonts w:eastAsiaTheme="minorHAnsi" w:cs="Arial"/>
          <w:b/>
          <w:szCs w:val="22"/>
        </w:rPr>
      </w:pPr>
      <w:r>
        <w:rPr>
          <w:rFonts w:eastAsiaTheme="minorHAnsi" w:cs="Arial"/>
          <w:b/>
          <w:szCs w:val="22"/>
        </w:rPr>
        <w:t>Risk assessments</w:t>
      </w:r>
      <w:r w:rsidR="001B505D">
        <w:rPr>
          <w:rFonts w:eastAsiaTheme="minorHAnsi" w:cs="Arial"/>
          <w:b/>
          <w:szCs w:val="22"/>
        </w:rPr>
        <w:t xml:space="preserve"> </w:t>
      </w:r>
    </w:p>
    <w:p w14:paraId="2E7433E5" w14:textId="5117F072" w:rsidR="009D125D" w:rsidRDefault="009D125D" w:rsidP="009F6DA0">
      <w:pPr>
        <w:autoSpaceDE w:val="0"/>
        <w:autoSpaceDN w:val="0"/>
        <w:adjustRightInd w:val="0"/>
        <w:rPr>
          <w:rFonts w:cs="Arial"/>
          <w:b/>
        </w:rPr>
      </w:pPr>
    </w:p>
    <w:p w14:paraId="1E70325D" w14:textId="77777777" w:rsidR="000D157E" w:rsidRDefault="000D157E" w:rsidP="009F6DA0">
      <w:pPr>
        <w:autoSpaceDE w:val="0"/>
        <w:autoSpaceDN w:val="0"/>
        <w:adjustRightInd w:val="0"/>
        <w:rPr>
          <w:rFonts w:cs="Arial"/>
          <w:b/>
        </w:rPr>
      </w:pPr>
    </w:p>
    <w:p w14:paraId="4AA6B7E4" w14:textId="77777777" w:rsidR="009D125D" w:rsidRDefault="009D125D" w:rsidP="009F6DA0">
      <w:pPr>
        <w:autoSpaceDE w:val="0"/>
        <w:autoSpaceDN w:val="0"/>
        <w:adjustRightInd w:val="0"/>
        <w:rPr>
          <w:rFonts w:cs="Arial"/>
          <w:b/>
        </w:rPr>
      </w:pPr>
    </w:p>
    <w:p w14:paraId="622A5BA0" w14:textId="77777777" w:rsidR="009D125D" w:rsidRDefault="009D125D" w:rsidP="009F6DA0">
      <w:pPr>
        <w:autoSpaceDE w:val="0"/>
        <w:autoSpaceDN w:val="0"/>
        <w:adjustRightInd w:val="0"/>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7"/>
        <w:gridCol w:w="6569"/>
      </w:tblGrid>
      <w:tr w:rsidR="009D125D" w:rsidRPr="002E3AD0" w14:paraId="0146A3A0" w14:textId="77777777" w:rsidTr="000D157E">
        <w:tc>
          <w:tcPr>
            <w:tcW w:w="2447" w:type="dxa"/>
          </w:tcPr>
          <w:p w14:paraId="0E09F566" w14:textId="13458BCE" w:rsidR="009D125D" w:rsidRPr="002E3AD0" w:rsidRDefault="009D125D" w:rsidP="00B73566">
            <w:pPr>
              <w:pStyle w:val="Body"/>
              <w:spacing w:line="360" w:lineRule="auto"/>
              <w:rPr>
                <w:rFonts w:ascii="Arial" w:eastAsia="Arial" w:hAnsi="Arial" w:cs="Arial"/>
                <w:b/>
                <w:bCs/>
                <w:sz w:val="24"/>
                <w:szCs w:val="24"/>
                <w:u w:color="000000"/>
              </w:rPr>
            </w:pPr>
            <w:r>
              <w:rPr>
                <w:rFonts w:ascii="Arial" w:eastAsia="Arial" w:hAnsi="Arial" w:cs="Arial"/>
                <w:b/>
                <w:bCs/>
                <w:sz w:val="24"/>
                <w:szCs w:val="24"/>
                <w:u w:color="000000"/>
              </w:rPr>
              <w:t>Risk assessments for events and educational visits on campus</w:t>
            </w:r>
          </w:p>
        </w:tc>
        <w:tc>
          <w:tcPr>
            <w:tcW w:w="6569" w:type="dxa"/>
          </w:tcPr>
          <w:p w14:paraId="5866D92C" w14:textId="2B2A1AD3" w:rsidR="009D125D" w:rsidRPr="009D125D" w:rsidRDefault="009D125D" w:rsidP="009D125D">
            <w:pPr>
              <w:pStyle w:val="Body"/>
              <w:spacing w:line="360" w:lineRule="auto"/>
              <w:rPr>
                <w:rFonts w:ascii="Arial" w:hAnsi="Arial"/>
                <w:sz w:val="24"/>
                <w:szCs w:val="24"/>
              </w:rPr>
            </w:pPr>
            <w:r w:rsidRPr="00A64D55">
              <w:rPr>
                <w:rFonts w:ascii="Arial" w:hAnsi="Arial"/>
                <w:sz w:val="24"/>
                <w:szCs w:val="24"/>
              </w:rPr>
              <w:t xml:space="preserve">The general health and safety duties apply to education visits, but there are also additional factors to be </w:t>
            </w:r>
            <w:proofErr w:type="gramStart"/>
            <w:r w:rsidRPr="00A64D55">
              <w:rPr>
                <w:rFonts w:ascii="Arial" w:hAnsi="Arial"/>
                <w:sz w:val="24"/>
                <w:szCs w:val="24"/>
              </w:rPr>
              <w:t>taken into account</w:t>
            </w:r>
            <w:proofErr w:type="gramEnd"/>
            <w:r>
              <w:rPr>
                <w:rFonts w:ascii="Arial" w:hAnsi="Arial"/>
                <w:sz w:val="24"/>
                <w:szCs w:val="24"/>
              </w:rPr>
              <w:t xml:space="preserve">. </w:t>
            </w:r>
            <w:r w:rsidRPr="009D125D">
              <w:rPr>
                <w:rFonts w:ascii="Arial" w:hAnsi="Arial"/>
                <w:sz w:val="24"/>
                <w:szCs w:val="24"/>
              </w:rPr>
              <w:t>A risk assessment must be carried out prior to any planned or organised activity that:</w:t>
            </w:r>
          </w:p>
          <w:p w14:paraId="7CA64B51" w14:textId="77777777" w:rsidR="009D125D" w:rsidRPr="009D125D" w:rsidRDefault="009D125D" w:rsidP="009D125D">
            <w:pPr>
              <w:pStyle w:val="Body"/>
              <w:spacing w:line="360" w:lineRule="auto"/>
              <w:rPr>
                <w:rFonts w:ascii="Arial" w:hAnsi="Arial"/>
                <w:sz w:val="24"/>
                <w:szCs w:val="24"/>
              </w:rPr>
            </w:pPr>
          </w:p>
          <w:p w14:paraId="12A45691" w14:textId="406826EA" w:rsidR="009D125D" w:rsidRDefault="009D125D" w:rsidP="009D125D">
            <w:pPr>
              <w:pStyle w:val="Body"/>
              <w:spacing w:line="360" w:lineRule="auto"/>
              <w:rPr>
                <w:rFonts w:ascii="Arial" w:hAnsi="Arial"/>
                <w:sz w:val="24"/>
                <w:szCs w:val="24"/>
              </w:rPr>
            </w:pPr>
            <w:r w:rsidRPr="009D125D">
              <w:rPr>
                <w:rFonts w:ascii="Arial" w:hAnsi="Arial"/>
                <w:sz w:val="24"/>
                <w:szCs w:val="24"/>
              </w:rPr>
              <w:t>•</w:t>
            </w:r>
            <w:r w:rsidRPr="009D125D">
              <w:rPr>
                <w:rFonts w:ascii="Arial" w:hAnsi="Arial"/>
                <w:sz w:val="24"/>
                <w:szCs w:val="24"/>
              </w:rPr>
              <w:tab/>
              <w:t xml:space="preserve">is being </w:t>
            </w:r>
            <w:proofErr w:type="spellStart"/>
            <w:r w:rsidRPr="009D125D">
              <w:rPr>
                <w:rFonts w:ascii="Arial" w:hAnsi="Arial"/>
                <w:sz w:val="24"/>
                <w:szCs w:val="24"/>
              </w:rPr>
              <w:t>co-ordinated</w:t>
            </w:r>
            <w:proofErr w:type="spellEnd"/>
            <w:r w:rsidRPr="009D125D">
              <w:rPr>
                <w:rFonts w:ascii="Arial" w:hAnsi="Arial"/>
                <w:sz w:val="24"/>
                <w:szCs w:val="24"/>
              </w:rPr>
              <w:t xml:space="preserve"> specifically for children and/ or adults at </w:t>
            </w:r>
            <w:proofErr w:type="gramStart"/>
            <w:r w:rsidRPr="009D125D">
              <w:rPr>
                <w:rFonts w:ascii="Arial" w:hAnsi="Arial"/>
                <w:sz w:val="24"/>
                <w:szCs w:val="24"/>
              </w:rPr>
              <w:t>risk;</w:t>
            </w:r>
            <w:proofErr w:type="gramEnd"/>
            <w:r w:rsidRPr="009D125D">
              <w:rPr>
                <w:rFonts w:ascii="Arial" w:hAnsi="Arial"/>
                <w:sz w:val="24"/>
                <w:szCs w:val="24"/>
              </w:rPr>
              <w:t xml:space="preserve"> e.g. widening participation/recruitment activities;</w:t>
            </w:r>
          </w:p>
          <w:p w14:paraId="76A9B34D" w14:textId="77777777" w:rsidR="009D125D" w:rsidRPr="009D125D" w:rsidRDefault="009D125D" w:rsidP="009D125D">
            <w:pPr>
              <w:pStyle w:val="Body"/>
              <w:spacing w:line="360" w:lineRule="auto"/>
              <w:rPr>
                <w:rFonts w:ascii="Arial" w:hAnsi="Arial"/>
                <w:sz w:val="24"/>
                <w:szCs w:val="24"/>
              </w:rPr>
            </w:pPr>
          </w:p>
          <w:p w14:paraId="4599C122" w14:textId="77777777" w:rsidR="009D125D" w:rsidRPr="009D125D" w:rsidRDefault="009D125D" w:rsidP="009D125D">
            <w:pPr>
              <w:pStyle w:val="Body"/>
              <w:spacing w:line="360" w:lineRule="auto"/>
              <w:rPr>
                <w:rFonts w:ascii="Arial" w:hAnsi="Arial"/>
                <w:sz w:val="24"/>
                <w:szCs w:val="24"/>
              </w:rPr>
            </w:pPr>
            <w:r w:rsidRPr="009D125D">
              <w:rPr>
                <w:rFonts w:ascii="Arial" w:hAnsi="Arial"/>
                <w:sz w:val="24"/>
                <w:szCs w:val="24"/>
              </w:rPr>
              <w:t>•</w:t>
            </w:r>
            <w:r w:rsidRPr="009D125D">
              <w:rPr>
                <w:rFonts w:ascii="Arial" w:hAnsi="Arial"/>
                <w:sz w:val="24"/>
                <w:szCs w:val="24"/>
              </w:rPr>
              <w:tab/>
              <w:t xml:space="preserve">will involve an attendance/participation by under 18s or adults at </w:t>
            </w:r>
            <w:proofErr w:type="gramStart"/>
            <w:r w:rsidRPr="009D125D">
              <w:rPr>
                <w:rFonts w:ascii="Arial" w:hAnsi="Arial"/>
                <w:sz w:val="24"/>
                <w:szCs w:val="24"/>
              </w:rPr>
              <w:t>risk;</w:t>
            </w:r>
            <w:proofErr w:type="gramEnd"/>
            <w:r w:rsidRPr="009D125D">
              <w:rPr>
                <w:rFonts w:ascii="Arial" w:hAnsi="Arial"/>
                <w:sz w:val="24"/>
                <w:szCs w:val="24"/>
              </w:rPr>
              <w:t xml:space="preserve"> e.g. a student registered for a </w:t>
            </w:r>
            <w:proofErr w:type="spellStart"/>
            <w:r w:rsidRPr="009D125D">
              <w:rPr>
                <w:rFonts w:ascii="Arial" w:hAnsi="Arial"/>
                <w:sz w:val="24"/>
                <w:szCs w:val="24"/>
              </w:rPr>
              <w:t>programme</w:t>
            </w:r>
            <w:proofErr w:type="spellEnd"/>
            <w:r w:rsidRPr="009D125D">
              <w:rPr>
                <w:rFonts w:ascii="Arial" w:hAnsi="Arial"/>
                <w:sz w:val="24"/>
                <w:szCs w:val="24"/>
              </w:rPr>
              <w:t xml:space="preserve"> of study.</w:t>
            </w:r>
          </w:p>
          <w:p w14:paraId="369301A1" w14:textId="77777777" w:rsidR="009D125D" w:rsidRPr="009D125D" w:rsidRDefault="009D125D" w:rsidP="009D125D">
            <w:pPr>
              <w:pStyle w:val="Body"/>
              <w:spacing w:line="360" w:lineRule="auto"/>
              <w:rPr>
                <w:rFonts w:ascii="Arial" w:hAnsi="Arial"/>
                <w:sz w:val="24"/>
                <w:szCs w:val="24"/>
              </w:rPr>
            </w:pPr>
          </w:p>
          <w:p w14:paraId="40B253E2" w14:textId="77777777" w:rsidR="009D125D" w:rsidRPr="009D125D" w:rsidRDefault="009D125D" w:rsidP="009D125D">
            <w:pPr>
              <w:pStyle w:val="Body"/>
              <w:spacing w:line="360" w:lineRule="auto"/>
              <w:rPr>
                <w:rFonts w:ascii="Arial" w:hAnsi="Arial"/>
                <w:sz w:val="24"/>
                <w:szCs w:val="24"/>
              </w:rPr>
            </w:pPr>
            <w:r w:rsidRPr="009D125D">
              <w:rPr>
                <w:rFonts w:ascii="Arial" w:hAnsi="Arial"/>
                <w:sz w:val="24"/>
                <w:szCs w:val="24"/>
              </w:rPr>
              <w:t>Such risk assessments must take account of the relevant legislation, including the Management of Health and Safety at Work Regulations 1999.</w:t>
            </w:r>
          </w:p>
          <w:p w14:paraId="1448C924" w14:textId="77777777" w:rsidR="009D125D" w:rsidRPr="009D125D" w:rsidRDefault="009D125D" w:rsidP="009D125D">
            <w:pPr>
              <w:pStyle w:val="Body"/>
              <w:spacing w:line="360" w:lineRule="auto"/>
              <w:rPr>
                <w:rFonts w:ascii="Arial" w:hAnsi="Arial"/>
                <w:sz w:val="24"/>
                <w:szCs w:val="24"/>
              </w:rPr>
            </w:pPr>
          </w:p>
          <w:p w14:paraId="0ACA4C0C" w14:textId="0953DA03" w:rsidR="009D125D" w:rsidRDefault="009D125D" w:rsidP="00B73566">
            <w:pPr>
              <w:pStyle w:val="Body"/>
              <w:spacing w:line="360" w:lineRule="auto"/>
              <w:rPr>
                <w:rFonts w:ascii="Arial" w:hAnsi="Arial"/>
                <w:sz w:val="24"/>
                <w:szCs w:val="24"/>
              </w:rPr>
            </w:pPr>
            <w:r w:rsidRPr="009D125D">
              <w:rPr>
                <w:rFonts w:ascii="Arial" w:hAnsi="Arial"/>
                <w:sz w:val="24"/>
                <w:szCs w:val="24"/>
              </w:rPr>
              <w:t xml:space="preserve">The full extent of the assessment will depend on the nature of the activity.  A generic assessment will suffice for most </w:t>
            </w:r>
            <w:proofErr w:type="gramStart"/>
            <w:r w:rsidRPr="009D125D">
              <w:rPr>
                <w:rFonts w:ascii="Arial" w:hAnsi="Arial"/>
                <w:sz w:val="24"/>
                <w:szCs w:val="24"/>
              </w:rPr>
              <w:t>areas</w:t>
            </w:r>
            <w:proofErr w:type="gramEnd"/>
            <w:r w:rsidRPr="009D125D">
              <w:rPr>
                <w:rFonts w:ascii="Arial" w:hAnsi="Arial"/>
                <w:sz w:val="24"/>
                <w:szCs w:val="24"/>
              </w:rPr>
              <w:t xml:space="preserve"> but specific assessments should be carried out for entry into locations where there are known hazards, e.g. laboratories, workshops.</w:t>
            </w:r>
          </w:p>
          <w:p w14:paraId="71A6F01F" w14:textId="77777777" w:rsidR="009D125D" w:rsidRPr="00A64D55" w:rsidRDefault="009D125D" w:rsidP="00B73566">
            <w:pPr>
              <w:pStyle w:val="Body"/>
              <w:spacing w:line="360" w:lineRule="auto"/>
              <w:rPr>
                <w:rFonts w:ascii="Arial" w:eastAsia="Arial" w:hAnsi="Arial" w:cs="Arial"/>
                <w:sz w:val="24"/>
                <w:szCs w:val="24"/>
              </w:rPr>
            </w:pPr>
          </w:p>
          <w:p w14:paraId="2C56C2A9" w14:textId="77777777" w:rsidR="009D125D" w:rsidRDefault="009D125D" w:rsidP="00B73566">
            <w:pPr>
              <w:pStyle w:val="Body"/>
              <w:spacing w:line="360" w:lineRule="auto"/>
              <w:rPr>
                <w:rFonts w:ascii="Arial" w:hAnsi="Arial"/>
                <w:sz w:val="24"/>
                <w:szCs w:val="24"/>
              </w:rPr>
            </w:pPr>
            <w:r w:rsidRPr="00A64D55">
              <w:rPr>
                <w:rFonts w:ascii="Arial" w:hAnsi="Arial"/>
                <w:sz w:val="24"/>
                <w:szCs w:val="24"/>
              </w:rPr>
              <w:t xml:space="preserve">For under 18s the risk assessment must also address any increased risk that might result from the person’s age and inexperience.  </w:t>
            </w:r>
          </w:p>
          <w:p w14:paraId="1776885E" w14:textId="77777777" w:rsidR="009D125D" w:rsidRDefault="009D125D" w:rsidP="00B73566">
            <w:pPr>
              <w:pStyle w:val="Body"/>
              <w:spacing w:line="360" w:lineRule="auto"/>
              <w:rPr>
                <w:rFonts w:ascii="Arial" w:hAnsi="Arial"/>
                <w:sz w:val="24"/>
                <w:szCs w:val="24"/>
              </w:rPr>
            </w:pPr>
          </w:p>
          <w:p w14:paraId="395A2FC0" w14:textId="77777777" w:rsidR="009D125D" w:rsidRDefault="009D125D" w:rsidP="00B73566">
            <w:pPr>
              <w:pStyle w:val="Body"/>
              <w:spacing w:line="360" w:lineRule="auto"/>
              <w:rPr>
                <w:rFonts w:ascii="Arial" w:hAnsi="Arial"/>
                <w:sz w:val="24"/>
                <w:szCs w:val="24"/>
              </w:rPr>
            </w:pPr>
            <w:r>
              <w:rPr>
                <w:rFonts w:ascii="Arial" w:hAnsi="Arial"/>
                <w:sz w:val="24"/>
                <w:szCs w:val="24"/>
              </w:rPr>
              <w:lastRenderedPageBreak/>
              <w:t>V</w:t>
            </w:r>
            <w:r w:rsidRPr="00A64D55">
              <w:rPr>
                <w:rFonts w:ascii="Arial" w:hAnsi="Arial"/>
                <w:sz w:val="24"/>
                <w:szCs w:val="24"/>
              </w:rPr>
              <w:t>isits with a residential component involve further considerations such as single sex accommodation, security and checking of staff.</w:t>
            </w:r>
          </w:p>
          <w:p w14:paraId="53E6BC07" w14:textId="77777777" w:rsidR="009D125D" w:rsidRPr="009E7CE6" w:rsidRDefault="009D125D" w:rsidP="00B7356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sz w:val="24"/>
                <w:szCs w:val="24"/>
              </w:rPr>
            </w:pPr>
          </w:p>
          <w:p w14:paraId="26940697" w14:textId="081A86BF" w:rsidR="000F1B1E" w:rsidRDefault="000F1B1E" w:rsidP="00B73566">
            <w:pPr>
              <w:pStyle w:val="Body"/>
              <w:spacing w:line="360" w:lineRule="auto"/>
              <w:rPr>
                <w:rFonts w:ascii="Arial" w:hAnsi="Arial"/>
                <w:sz w:val="24"/>
                <w:szCs w:val="24"/>
              </w:rPr>
            </w:pPr>
            <w:r w:rsidRPr="000F1B1E">
              <w:rPr>
                <w:rFonts w:ascii="Arial" w:hAnsi="Arial"/>
                <w:sz w:val="24"/>
                <w:szCs w:val="24"/>
              </w:rPr>
              <w:t>The Designated Safeguarding Officer and Deputy Designated Officer is responsible for ensuring that a risk assessment has been considered and acted upon as appropriate. A Risk Assessment document must be completed prior to each event on campus. This should set out potential hazards and the measures taken to ensure the safety of participants.  An example of an event risk assessment is available from the widening participation team. Advice relating to risk assessments is available from the Occupational Safety, Health and Environmental Unit.</w:t>
            </w:r>
          </w:p>
          <w:p w14:paraId="42726406" w14:textId="77777777" w:rsidR="000F1B1E" w:rsidRDefault="000F1B1E" w:rsidP="00B73566">
            <w:pPr>
              <w:pStyle w:val="Body"/>
              <w:spacing w:line="360" w:lineRule="auto"/>
              <w:rPr>
                <w:rFonts w:ascii="Arial" w:hAnsi="Arial"/>
                <w:sz w:val="24"/>
                <w:szCs w:val="24"/>
              </w:rPr>
            </w:pPr>
          </w:p>
          <w:p w14:paraId="55C84C3B" w14:textId="17CD84F5" w:rsidR="009D125D" w:rsidRDefault="009D125D" w:rsidP="00B73566">
            <w:pPr>
              <w:pStyle w:val="Body"/>
              <w:spacing w:line="360" w:lineRule="auto"/>
              <w:rPr>
                <w:rFonts w:ascii="Arial" w:hAnsi="Arial"/>
                <w:sz w:val="24"/>
                <w:szCs w:val="24"/>
              </w:rPr>
            </w:pPr>
            <w:r w:rsidRPr="009E7CE6">
              <w:rPr>
                <w:rFonts w:ascii="Arial" w:hAnsi="Arial"/>
                <w:sz w:val="24"/>
                <w:szCs w:val="24"/>
              </w:rPr>
              <w:t xml:space="preserve">Heads of Schools or Directorates </w:t>
            </w:r>
            <w:r w:rsidR="000F1B1E">
              <w:rPr>
                <w:rFonts w:ascii="Arial" w:hAnsi="Arial"/>
                <w:sz w:val="24"/>
                <w:szCs w:val="24"/>
              </w:rPr>
              <w:t>have overall</w:t>
            </w:r>
            <w:r w:rsidRPr="009E7CE6">
              <w:rPr>
                <w:rFonts w:ascii="Arial" w:hAnsi="Arial"/>
                <w:sz w:val="24"/>
                <w:szCs w:val="24"/>
              </w:rPr>
              <w:t xml:space="preserve"> responsib</w:t>
            </w:r>
            <w:r w:rsidR="000F1B1E">
              <w:rPr>
                <w:rFonts w:ascii="Arial" w:hAnsi="Arial"/>
                <w:sz w:val="24"/>
                <w:szCs w:val="24"/>
              </w:rPr>
              <w:t>ility</w:t>
            </w:r>
            <w:r w:rsidRPr="009E7CE6">
              <w:rPr>
                <w:rFonts w:ascii="Arial" w:hAnsi="Arial"/>
                <w:sz w:val="24"/>
                <w:szCs w:val="24"/>
              </w:rPr>
              <w:t xml:space="preserve"> for ensuring that the appropriate mechanisms are in place to ensure Designated Safeguarding Officer (and deputy where required) are appointed and that risk assessments are carried out and suitable and sufficient control measures are in place and operational.  For under 18s the risk assessment must also address any increased risk that might result from the person’s age and inexperience.  </w:t>
            </w:r>
          </w:p>
          <w:p w14:paraId="00215EA9" w14:textId="77777777" w:rsidR="009D125D" w:rsidRDefault="009D125D" w:rsidP="00B73566">
            <w:pPr>
              <w:pStyle w:val="Body"/>
              <w:spacing w:line="360" w:lineRule="auto"/>
              <w:rPr>
                <w:rFonts w:ascii="Arial" w:hAnsi="Arial"/>
                <w:sz w:val="24"/>
                <w:szCs w:val="24"/>
              </w:rPr>
            </w:pPr>
          </w:p>
          <w:p w14:paraId="1B392A1A" w14:textId="77777777" w:rsidR="009D125D" w:rsidRDefault="009D125D" w:rsidP="00B73566">
            <w:pPr>
              <w:pStyle w:val="Body"/>
              <w:spacing w:line="360" w:lineRule="auto"/>
              <w:rPr>
                <w:rFonts w:ascii="Arial" w:hAnsi="Arial"/>
                <w:sz w:val="24"/>
                <w:szCs w:val="24"/>
              </w:rPr>
            </w:pPr>
            <w:r w:rsidRPr="009E7CE6">
              <w:rPr>
                <w:rFonts w:ascii="Arial" w:hAnsi="Arial"/>
                <w:sz w:val="24"/>
                <w:szCs w:val="24"/>
              </w:rPr>
              <w:t xml:space="preserve">Staff </w:t>
            </w:r>
            <w:proofErr w:type="spellStart"/>
            <w:r w:rsidRPr="009E7CE6">
              <w:rPr>
                <w:rFonts w:ascii="Arial" w:hAnsi="Arial"/>
                <w:sz w:val="24"/>
                <w:szCs w:val="24"/>
              </w:rPr>
              <w:t>organising</w:t>
            </w:r>
            <w:proofErr w:type="spellEnd"/>
            <w:r w:rsidRPr="009E7CE6">
              <w:rPr>
                <w:rFonts w:ascii="Arial" w:hAnsi="Arial"/>
                <w:sz w:val="24"/>
                <w:szCs w:val="24"/>
              </w:rPr>
              <w:t xml:space="preserve"> visits to the University are urged to contact the Widening Participation Team (outreach@cardiff.ac.uk) to obtain guidance and copies of the appropriate documentation </w:t>
            </w:r>
          </w:p>
          <w:p w14:paraId="7B10DD78" w14:textId="77777777" w:rsidR="009D125D" w:rsidRDefault="009D125D" w:rsidP="00B73566">
            <w:pPr>
              <w:pStyle w:val="Body"/>
              <w:spacing w:line="360" w:lineRule="auto"/>
              <w:rPr>
                <w:rFonts w:ascii="Arial" w:hAnsi="Arial"/>
                <w:sz w:val="24"/>
                <w:szCs w:val="24"/>
              </w:rPr>
            </w:pPr>
          </w:p>
          <w:p w14:paraId="510D2B65" w14:textId="77777777" w:rsidR="009D125D" w:rsidRPr="002E3AD0" w:rsidRDefault="009D125D" w:rsidP="00B73566">
            <w:pPr>
              <w:pStyle w:val="Body"/>
              <w:spacing w:line="360" w:lineRule="auto"/>
              <w:rPr>
                <w:rFonts w:ascii="Arial" w:eastAsia="Arial" w:hAnsi="Arial" w:cs="Arial"/>
                <w:sz w:val="24"/>
                <w:szCs w:val="24"/>
              </w:rPr>
            </w:pPr>
            <w:r w:rsidRPr="009E7CE6">
              <w:rPr>
                <w:rFonts w:ascii="Arial" w:hAnsi="Arial"/>
                <w:sz w:val="24"/>
                <w:szCs w:val="24"/>
              </w:rPr>
              <w:t xml:space="preserve">General guidance and information about carrying out such </w:t>
            </w:r>
            <w:proofErr w:type="gramStart"/>
            <w:r w:rsidRPr="009E7CE6">
              <w:rPr>
                <w:rFonts w:ascii="Arial" w:hAnsi="Arial"/>
                <w:sz w:val="24"/>
                <w:szCs w:val="24"/>
              </w:rPr>
              <w:t>risks</w:t>
            </w:r>
            <w:proofErr w:type="gramEnd"/>
            <w:r w:rsidRPr="009E7CE6">
              <w:rPr>
                <w:rFonts w:ascii="Arial" w:hAnsi="Arial"/>
                <w:sz w:val="24"/>
                <w:szCs w:val="24"/>
              </w:rPr>
              <w:t xml:space="preserve"> assessment is available from the Occupational Safety, Health and Environment Unit.</w:t>
            </w:r>
          </w:p>
        </w:tc>
      </w:tr>
      <w:tr w:rsidR="009D125D" w:rsidRPr="002E3AD0" w14:paraId="3A0A550D" w14:textId="77777777" w:rsidTr="000D157E">
        <w:tc>
          <w:tcPr>
            <w:tcW w:w="2447" w:type="dxa"/>
          </w:tcPr>
          <w:p w14:paraId="3C787CC6" w14:textId="77777777" w:rsidR="009D125D" w:rsidRDefault="009D125D" w:rsidP="00B73566">
            <w:pPr>
              <w:pStyle w:val="Body"/>
              <w:spacing w:line="360" w:lineRule="auto"/>
              <w:rPr>
                <w:rFonts w:ascii="Arial" w:eastAsia="Arial" w:hAnsi="Arial" w:cs="Arial"/>
                <w:b/>
                <w:bCs/>
                <w:sz w:val="24"/>
                <w:szCs w:val="24"/>
                <w:u w:color="000000"/>
              </w:rPr>
            </w:pPr>
          </w:p>
        </w:tc>
        <w:tc>
          <w:tcPr>
            <w:tcW w:w="6569" w:type="dxa"/>
          </w:tcPr>
          <w:p w14:paraId="75578806" w14:textId="77777777" w:rsidR="009D125D" w:rsidRPr="00A64D55" w:rsidRDefault="009D125D" w:rsidP="009D125D">
            <w:pPr>
              <w:pStyle w:val="Body"/>
              <w:spacing w:line="360" w:lineRule="auto"/>
              <w:rPr>
                <w:rFonts w:ascii="Arial" w:hAnsi="Arial"/>
                <w:sz w:val="24"/>
                <w:szCs w:val="24"/>
              </w:rPr>
            </w:pPr>
          </w:p>
        </w:tc>
      </w:tr>
      <w:tr w:rsidR="009D125D" w:rsidRPr="002E3AD0" w14:paraId="7E9FC067" w14:textId="77777777" w:rsidTr="000D157E">
        <w:tc>
          <w:tcPr>
            <w:tcW w:w="2447" w:type="dxa"/>
          </w:tcPr>
          <w:p w14:paraId="5DEB358F" w14:textId="67B5C6B8" w:rsidR="009D125D" w:rsidRDefault="009D125D" w:rsidP="00B73566">
            <w:pPr>
              <w:pStyle w:val="Body"/>
              <w:spacing w:line="360" w:lineRule="auto"/>
              <w:rPr>
                <w:rFonts w:ascii="Arial" w:eastAsia="Arial" w:hAnsi="Arial" w:cs="Arial"/>
                <w:b/>
                <w:bCs/>
                <w:sz w:val="24"/>
                <w:szCs w:val="24"/>
                <w:u w:color="000000"/>
              </w:rPr>
            </w:pPr>
            <w:r>
              <w:rPr>
                <w:rFonts w:ascii="Arial" w:eastAsia="Arial" w:hAnsi="Arial" w:cs="Arial"/>
                <w:b/>
                <w:bCs/>
                <w:sz w:val="24"/>
                <w:szCs w:val="24"/>
                <w:u w:color="000000"/>
              </w:rPr>
              <w:lastRenderedPageBreak/>
              <w:t>Risk assessments for admissions</w:t>
            </w:r>
          </w:p>
        </w:tc>
        <w:tc>
          <w:tcPr>
            <w:tcW w:w="6569" w:type="dxa"/>
          </w:tcPr>
          <w:p w14:paraId="5E81DAF6" w14:textId="77777777" w:rsidR="009D125D" w:rsidRPr="009D125D" w:rsidRDefault="009D125D" w:rsidP="009D125D">
            <w:pPr>
              <w:pStyle w:val="Body"/>
              <w:spacing w:line="360" w:lineRule="auto"/>
              <w:rPr>
                <w:rFonts w:ascii="Arial" w:hAnsi="Arial"/>
                <w:sz w:val="24"/>
                <w:szCs w:val="24"/>
              </w:rPr>
            </w:pPr>
            <w:r w:rsidRPr="009D125D">
              <w:rPr>
                <w:rFonts w:ascii="Arial" w:hAnsi="Arial"/>
                <w:sz w:val="24"/>
                <w:szCs w:val="24"/>
              </w:rPr>
              <w:t xml:space="preserve">Once an offer has been made to an underage applicant, the relevant School(s) will be notified to facilitate an early risk assessment, with the aim of ensuring that statutory health and safety regulations do not preclude pursuit of </w:t>
            </w:r>
            <w:proofErr w:type="spellStart"/>
            <w:r w:rsidRPr="009D125D">
              <w:rPr>
                <w:rFonts w:ascii="Arial" w:hAnsi="Arial"/>
                <w:sz w:val="24"/>
                <w:szCs w:val="24"/>
              </w:rPr>
              <w:t>programme</w:t>
            </w:r>
            <w:proofErr w:type="spellEnd"/>
            <w:r w:rsidRPr="009D125D">
              <w:rPr>
                <w:rFonts w:ascii="Arial" w:hAnsi="Arial"/>
                <w:sz w:val="24"/>
                <w:szCs w:val="24"/>
              </w:rPr>
              <w:t xml:space="preserve">-related activities which constitute all or part of the core and/or optional modules required for the applicant’s satisfactory progression on their chosen </w:t>
            </w:r>
            <w:proofErr w:type="spellStart"/>
            <w:r w:rsidRPr="009D125D">
              <w:rPr>
                <w:rFonts w:ascii="Arial" w:hAnsi="Arial"/>
                <w:sz w:val="24"/>
                <w:szCs w:val="24"/>
              </w:rPr>
              <w:t>programme</w:t>
            </w:r>
            <w:proofErr w:type="spellEnd"/>
            <w:r w:rsidRPr="009D125D">
              <w:rPr>
                <w:rFonts w:ascii="Arial" w:hAnsi="Arial"/>
                <w:sz w:val="24"/>
                <w:szCs w:val="24"/>
              </w:rPr>
              <w:t xml:space="preserve"> of study.  </w:t>
            </w:r>
          </w:p>
          <w:p w14:paraId="36B9FDAA" w14:textId="77777777" w:rsidR="009D125D" w:rsidRPr="009D125D" w:rsidRDefault="009D125D" w:rsidP="009D125D">
            <w:pPr>
              <w:pStyle w:val="Body"/>
              <w:spacing w:line="360" w:lineRule="auto"/>
              <w:rPr>
                <w:rFonts w:ascii="Arial" w:hAnsi="Arial"/>
                <w:sz w:val="24"/>
                <w:szCs w:val="24"/>
              </w:rPr>
            </w:pPr>
          </w:p>
          <w:p w14:paraId="23729A8C" w14:textId="1845249F" w:rsidR="009D125D" w:rsidRPr="00A64D55" w:rsidRDefault="009D125D" w:rsidP="009D125D">
            <w:pPr>
              <w:pStyle w:val="Body"/>
              <w:spacing w:line="360" w:lineRule="auto"/>
              <w:rPr>
                <w:rFonts w:ascii="Arial" w:hAnsi="Arial"/>
                <w:sz w:val="24"/>
                <w:szCs w:val="24"/>
              </w:rPr>
            </w:pPr>
            <w:r w:rsidRPr="009D125D">
              <w:rPr>
                <w:rFonts w:ascii="Arial" w:hAnsi="Arial"/>
                <w:sz w:val="24"/>
                <w:szCs w:val="24"/>
              </w:rPr>
              <w:t>Students with additional learning needs (learning disabilities, mental health problems, older people and disabled people) may also be adults at risk. Once an offer has been made to an applicant who has disclosed a disability, the Disability and Dyslexia Service will request additional information as part of the procedure for identifying support and reasonable adjustments. This procedure may include any risk assessments relevant to safeguarding adults at risk.</w:t>
            </w:r>
          </w:p>
        </w:tc>
      </w:tr>
      <w:tr w:rsidR="000D157E" w:rsidRPr="002E3AD0" w14:paraId="3B0AC1AF" w14:textId="77777777" w:rsidTr="000D157E">
        <w:tc>
          <w:tcPr>
            <w:tcW w:w="2447" w:type="dxa"/>
          </w:tcPr>
          <w:p w14:paraId="21F01352" w14:textId="77777777" w:rsidR="000D157E" w:rsidRDefault="000D157E" w:rsidP="00B73566">
            <w:pPr>
              <w:pStyle w:val="Body"/>
              <w:spacing w:line="360" w:lineRule="auto"/>
              <w:rPr>
                <w:rFonts w:ascii="Arial" w:eastAsia="Arial" w:hAnsi="Arial" w:cs="Arial"/>
                <w:b/>
                <w:bCs/>
                <w:sz w:val="24"/>
                <w:szCs w:val="24"/>
                <w:u w:color="000000"/>
              </w:rPr>
            </w:pPr>
          </w:p>
        </w:tc>
        <w:tc>
          <w:tcPr>
            <w:tcW w:w="6569" w:type="dxa"/>
          </w:tcPr>
          <w:p w14:paraId="1221F042" w14:textId="77777777" w:rsidR="000D157E" w:rsidRPr="009D125D" w:rsidRDefault="000D157E" w:rsidP="009D125D">
            <w:pPr>
              <w:pStyle w:val="Body"/>
              <w:spacing w:line="360" w:lineRule="auto"/>
              <w:rPr>
                <w:rFonts w:ascii="Arial" w:hAnsi="Arial"/>
                <w:sz w:val="24"/>
                <w:szCs w:val="24"/>
              </w:rPr>
            </w:pPr>
          </w:p>
        </w:tc>
      </w:tr>
      <w:tr w:rsidR="000D157E" w:rsidRPr="002E3AD0" w14:paraId="2EE5AB9A" w14:textId="77777777" w:rsidTr="000D157E">
        <w:tc>
          <w:tcPr>
            <w:tcW w:w="2447" w:type="dxa"/>
          </w:tcPr>
          <w:p w14:paraId="3FDDA141" w14:textId="37FC4B97" w:rsidR="000D157E" w:rsidRDefault="000D157E" w:rsidP="00B73566">
            <w:pPr>
              <w:pStyle w:val="Body"/>
              <w:spacing w:line="360" w:lineRule="auto"/>
              <w:rPr>
                <w:rFonts w:ascii="Arial" w:eastAsia="Arial" w:hAnsi="Arial" w:cs="Arial"/>
                <w:b/>
                <w:bCs/>
                <w:sz w:val="24"/>
                <w:szCs w:val="24"/>
                <w:u w:color="000000"/>
              </w:rPr>
            </w:pPr>
            <w:r w:rsidRPr="007D0324">
              <w:rPr>
                <w:rFonts w:cs="Arial"/>
                <w:b/>
              </w:rPr>
              <w:t xml:space="preserve">Risk Assessments </w:t>
            </w:r>
            <w:r>
              <w:rPr>
                <w:rFonts w:cs="Arial"/>
                <w:b/>
              </w:rPr>
              <w:t>for</w:t>
            </w:r>
            <w:r w:rsidRPr="007D0324">
              <w:rPr>
                <w:rFonts w:cs="Arial"/>
                <w:b/>
              </w:rPr>
              <w:t xml:space="preserve"> </w:t>
            </w:r>
            <w:r>
              <w:rPr>
                <w:rFonts w:cs="Arial"/>
                <w:b/>
              </w:rPr>
              <w:t>t</w:t>
            </w:r>
            <w:r w:rsidRPr="007D0324">
              <w:rPr>
                <w:rFonts w:cs="Arial"/>
                <w:b/>
              </w:rPr>
              <w:t xml:space="preserve">rips and </w:t>
            </w:r>
            <w:r>
              <w:rPr>
                <w:rFonts w:cs="Arial"/>
                <w:b/>
              </w:rPr>
              <w:t>a</w:t>
            </w:r>
            <w:r w:rsidRPr="007D0324">
              <w:rPr>
                <w:rFonts w:cs="Arial"/>
                <w:b/>
              </w:rPr>
              <w:t>ctivities away from the University</w:t>
            </w:r>
          </w:p>
        </w:tc>
        <w:tc>
          <w:tcPr>
            <w:tcW w:w="6569" w:type="dxa"/>
          </w:tcPr>
          <w:p w14:paraId="21467094" w14:textId="77777777" w:rsidR="000D157E" w:rsidRPr="000D157E" w:rsidRDefault="000D157E" w:rsidP="000D157E">
            <w:pPr>
              <w:pStyle w:val="Body"/>
              <w:spacing w:line="360" w:lineRule="auto"/>
              <w:rPr>
                <w:rFonts w:ascii="Arial" w:hAnsi="Arial"/>
                <w:sz w:val="24"/>
                <w:szCs w:val="24"/>
              </w:rPr>
            </w:pPr>
            <w:r w:rsidRPr="000D157E">
              <w:rPr>
                <w:rFonts w:ascii="Arial" w:hAnsi="Arial"/>
                <w:sz w:val="24"/>
                <w:szCs w:val="24"/>
              </w:rPr>
              <w:t xml:space="preserve">Trips and activities away from the University are likely to represent one of the most serious health and safety concerns for children and adults at risk.  All external trips and activities require careful examination before the visit goes ahead.  It is the responsibility of the Head of School/Directorate to ensure that a risk assessment is conducted before the event.  </w:t>
            </w:r>
          </w:p>
          <w:p w14:paraId="26599CEF" w14:textId="77777777" w:rsidR="000D157E" w:rsidRPr="000D157E" w:rsidRDefault="000D157E" w:rsidP="000D157E">
            <w:pPr>
              <w:pStyle w:val="Body"/>
              <w:spacing w:line="360" w:lineRule="auto"/>
              <w:rPr>
                <w:rFonts w:ascii="Arial" w:hAnsi="Arial"/>
                <w:sz w:val="24"/>
                <w:szCs w:val="24"/>
              </w:rPr>
            </w:pPr>
          </w:p>
          <w:p w14:paraId="348008FD" w14:textId="0F3B1C3F" w:rsidR="000D157E" w:rsidRPr="009D125D" w:rsidRDefault="000D157E" w:rsidP="000D157E">
            <w:pPr>
              <w:pStyle w:val="Body"/>
              <w:spacing w:line="360" w:lineRule="auto"/>
              <w:rPr>
                <w:rFonts w:ascii="Arial" w:hAnsi="Arial"/>
                <w:sz w:val="24"/>
                <w:szCs w:val="24"/>
              </w:rPr>
            </w:pPr>
            <w:r w:rsidRPr="000D157E">
              <w:rPr>
                <w:rFonts w:ascii="Arial" w:hAnsi="Arial"/>
                <w:sz w:val="24"/>
                <w:szCs w:val="24"/>
              </w:rPr>
              <w:t xml:space="preserve">The regulation of </w:t>
            </w:r>
            <w:proofErr w:type="spellStart"/>
            <w:r w:rsidRPr="000D157E">
              <w:rPr>
                <w:rFonts w:ascii="Arial" w:hAnsi="Arial"/>
                <w:sz w:val="24"/>
                <w:szCs w:val="24"/>
              </w:rPr>
              <w:t>centres</w:t>
            </w:r>
            <w:proofErr w:type="spellEnd"/>
            <w:r w:rsidRPr="000D157E">
              <w:rPr>
                <w:rFonts w:ascii="Arial" w:hAnsi="Arial"/>
                <w:sz w:val="24"/>
                <w:szCs w:val="24"/>
              </w:rPr>
              <w:t xml:space="preserve"> and providers of facilities where children and young people engage in adventure activities falls within the Activity </w:t>
            </w:r>
            <w:proofErr w:type="spellStart"/>
            <w:r w:rsidRPr="000D157E">
              <w:rPr>
                <w:rFonts w:ascii="Arial" w:hAnsi="Arial"/>
                <w:sz w:val="24"/>
                <w:szCs w:val="24"/>
              </w:rPr>
              <w:t>Centres</w:t>
            </w:r>
            <w:proofErr w:type="spellEnd"/>
            <w:r w:rsidRPr="000D157E">
              <w:rPr>
                <w:rFonts w:ascii="Arial" w:hAnsi="Arial"/>
                <w:sz w:val="24"/>
                <w:szCs w:val="24"/>
              </w:rPr>
              <w:t xml:space="preserve"> (Young Persons Safety) Act 1995</w:t>
            </w:r>
            <w:r>
              <w:rPr>
                <w:rFonts w:ascii="Arial" w:hAnsi="Arial"/>
                <w:sz w:val="24"/>
                <w:szCs w:val="24"/>
              </w:rPr>
              <w:t>. NB ‘young persons’ refers to persons under 18 for the purposes of this act.</w:t>
            </w:r>
          </w:p>
        </w:tc>
      </w:tr>
      <w:tr w:rsidR="000D157E" w:rsidRPr="009D125D" w14:paraId="2974C378" w14:textId="77777777" w:rsidTr="000D157E">
        <w:tc>
          <w:tcPr>
            <w:tcW w:w="2447" w:type="dxa"/>
          </w:tcPr>
          <w:p w14:paraId="1BC5987A" w14:textId="77777777" w:rsidR="000D157E" w:rsidRDefault="000D157E" w:rsidP="00B73566">
            <w:pPr>
              <w:pStyle w:val="Body"/>
              <w:spacing w:line="360" w:lineRule="auto"/>
              <w:rPr>
                <w:rFonts w:ascii="Arial" w:eastAsia="Arial" w:hAnsi="Arial" w:cs="Arial"/>
                <w:b/>
                <w:bCs/>
                <w:sz w:val="24"/>
                <w:szCs w:val="24"/>
                <w:u w:color="000000"/>
              </w:rPr>
            </w:pPr>
          </w:p>
        </w:tc>
        <w:tc>
          <w:tcPr>
            <w:tcW w:w="6569" w:type="dxa"/>
          </w:tcPr>
          <w:p w14:paraId="06774A94" w14:textId="77777777" w:rsidR="000D157E" w:rsidRPr="009D125D" w:rsidRDefault="000D157E" w:rsidP="00B73566">
            <w:pPr>
              <w:pStyle w:val="Body"/>
              <w:spacing w:line="360" w:lineRule="auto"/>
              <w:rPr>
                <w:rFonts w:ascii="Arial" w:hAnsi="Arial"/>
                <w:sz w:val="24"/>
                <w:szCs w:val="24"/>
              </w:rPr>
            </w:pPr>
          </w:p>
        </w:tc>
      </w:tr>
      <w:tr w:rsidR="000D157E" w:rsidRPr="009D125D" w14:paraId="3BFC6C6C" w14:textId="77777777" w:rsidTr="000D157E">
        <w:tc>
          <w:tcPr>
            <w:tcW w:w="2447" w:type="dxa"/>
          </w:tcPr>
          <w:p w14:paraId="7F7B92CE" w14:textId="739C02E3" w:rsidR="000D157E" w:rsidRDefault="000D157E" w:rsidP="00B73566">
            <w:pPr>
              <w:pStyle w:val="Body"/>
              <w:spacing w:line="360" w:lineRule="auto"/>
              <w:rPr>
                <w:rFonts w:ascii="Arial" w:eastAsia="Arial" w:hAnsi="Arial" w:cs="Arial"/>
                <w:b/>
                <w:bCs/>
                <w:sz w:val="24"/>
                <w:szCs w:val="24"/>
                <w:u w:color="000000"/>
              </w:rPr>
            </w:pPr>
            <w:r>
              <w:rPr>
                <w:rFonts w:ascii="Arial" w:eastAsia="Arial" w:hAnsi="Arial" w:cs="Arial"/>
                <w:b/>
                <w:bCs/>
                <w:sz w:val="24"/>
                <w:szCs w:val="24"/>
                <w:u w:color="000000"/>
              </w:rPr>
              <w:lastRenderedPageBreak/>
              <w:t>Risk assessments for placements</w:t>
            </w:r>
          </w:p>
        </w:tc>
        <w:tc>
          <w:tcPr>
            <w:tcW w:w="6569" w:type="dxa"/>
          </w:tcPr>
          <w:p w14:paraId="2F7A25AD" w14:textId="77777777" w:rsidR="000D157E" w:rsidRPr="000D157E" w:rsidRDefault="000D157E" w:rsidP="000D157E">
            <w:pPr>
              <w:pStyle w:val="Body"/>
              <w:spacing w:line="360" w:lineRule="auto"/>
              <w:rPr>
                <w:rFonts w:ascii="Arial" w:hAnsi="Arial"/>
                <w:sz w:val="24"/>
                <w:szCs w:val="24"/>
              </w:rPr>
            </w:pPr>
            <w:r w:rsidRPr="000D157E">
              <w:rPr>
                <w:rFonts w:ascii="Arial" w:hAnsi="Arial"/>
                <w:sz w:val="24"/>
                <w:szCs w:val="24"/>
              </w:rPr>
              <w:t xml:space="preserve">Where undergraduate students under the age of 18 are undertaking work placements as part of their </w:t>
            </w:r>
            <w:proofErr w:type="spellStart"/>
            <w:r w:rsidRPr="000D157E">
              <w:rPr>
                <w:rFonts w:ascii="Arial" w:hAnsi="Arial"/>
                <w:sz w:val="24"/>
                <w:szCs w:val="24"/>
              </w:rPr>
              <w:t>programme</w:t>
            </w:r>
            <w:proofErr w:type="spellEnd"/>
            <w:r w:rsidRPr="000D157E">
              <w:rPr>
                <w:rFonts w:ascii="Arial" w:hAnsi="Arial"/>
                <w:sz w:val="24"/>
                <w:szCs w:val="24"/>
              </w:rPr>
              <w:t xml:space="preserve"> of study, a risk assessment should be undertaken in advance.  This will assess the suitability of the placement in relation to health and safety risks, together with any other implications for the students’ welfare.  The extent of risk will be influenced by:</w:t>
            </w:r>
          </w:p>
          <w:p w14:paraId="7C042879" w14:textId="77777777" w:rsidR="000D157E" w:rsidRPr="000D157E" w:rsidRDefault="000D157E" w:rsidP="000D157E">
            <w:pPr>
              <w:pStyle w:val="Body"/>
              <w:spacing w:line="360" w:lineRule="auto"/>
              <w:rPr>
                <w:rFonts w:ascii="Arial" w:hAnsi="Arial"/>
                <w:sz w:val="24"/>
                <w:szCs w:val="24"/>
              </w:rPr>
            </w:pPr>
          </w:p>
          <w:p w14:paraId="4691A6DD" w14:textId="77777777" w:rsidR="000D157E" w:rsidRPr="000D157E" w:rsidRDefault="000D157E" w:rsidP="000D157E">
            <w:pPr>
              <w:pStyle w:val="Body"/>
              <w:spacing w:line="360" w:lineRule="auto"/>
              <w:rPr>
                <w:rFonts w:ascii="Arial" w:hAnsi="Arial"/>
                <w:sz w:val="24"/>
                <w:szCs w:val="24"/>
              </w:rPr>
            </w:pPr>
            <w:r w:rsidRPr="000D157E">
              <w:rPr>
                <w:rFonts w:ascii="Arial" w:hAnsi="Arial"/>
                <w:sz w:val="24"/>
                <w:szCs w:val="24"/>
              </w:rPr>
              <w:t>•</w:t>
            </w:r>
            <w:r w:rsidRPr="000D157E">
              <w:rPr>
                <w:rFonts w:ascii="Arial" w:hAnsi="Arial"/>
                <w:sz w:val="24"/>
                <w:szCs w:val="24"/>
              </w:rPr>
              <w:tab/>
              <w:t xml:space="preserve">the duration of the </w:t>
            </w:r>
            <w:proofErr w:type="gramStart"/>
            <w:r w:rsidRPr="000D157E">
              <w:rPr>
                <w:rFonts w:ascii="Arial" w:hAnsi="Arial"/>
                <w:sz w:val="24"/>
                <w:szCs w:val="24"/>
              </w:rPr>
              <w:t>placement;</w:t>
            </w:r>
            <w:proofErr w:type="gramEnd"/>
          </w:p>
          <w:p w14:paraId="5CBB3E55" w14:textId="77777777" w:rsidR="000D157E" w:rsidRPr="000D157E" w:rsidRDefault="000D157E" w:rsidP="000D157E">
            <w:pPr>
              <w:pStyle w:val="Body"/>
              <w:spacing w:line="360" w:lineRule="auto"/>
              <w:rPr>
                <w:rFonts w:ascii="Arial" w:hAnsi="Arial"/>
                <w:sz w:val="24"/>
                <w:szCs w:val="24"/>
              </w:rPr>
            </w:pPr>
            <w:r w:rsidRPr="000D157E">
              <w:rPr>
                <w:rFonts w:ascii="Arial" w:hAnsi="Arial"/>
                <w:sz w:val="24"/>
                <w:szCs w:val="24"/>
              </w:rPr>
              <w:t>•</w:t>
            </w:r>
            <w:r w:rsidRPr="000D157E">
              <w:rPr>
                <w:rFonts w:ascii="Arial" w:hAnsi="Arial"/>
                <w:sz w:val="24"/>
                <w:szCs w:val="24"/>
              </w:rPr>
              <w:tab/>
              <w:t xml:space="preserve">whether the nature of the placement means that the young person might be left alone with an </w:t>
            </w:r>
            <w:proofErr w:type="gramStart"/>
            <w:r w:rsidRPr="000D157E">
              <w:rPr>
                <w:rFonts w:ascii="Arial" w:hAnsi="Arial"/>
                <w:sz w:val="24"/>
                <w:szCs w:val="24"/>
              </w:rPr>
              <w:t>adult;</w:t>
            </w:r>
            <w:proofErr w:type="gramEnd"/>
          </w:p>
          <w:p w14:paraId="165318C0" w14:textId="77777777" w:rsidR="000D157E" w:rsidRPr="000D157E" w:rsidRDefault="000D157E" w:rsidP="000D157E">
            <w:pPr>
              <w:pStyle w:val="Body"/>
              <w:spacing w:line="360" w:lineRule="auto"/>
              <w:rPr>
                <w:rFonts w:ascii="Arial" w:hAnsi="Arial"/>
                <w:sz w:val="24"/>
                <w:szCs w:val="24"/>
              </w:rPr>
            </w:pPr>
            <w:r w:rsidRPr="000D157E">
              <w:rPr>
                <w:rFonts w:ascii="Arial" w:hAnsi="Arial"/>
                <w:sz w:val="24"/>
                <w:szCs w:val="24"/>
              </w:rPr>
              <w:t>•</w:t>
            </w:r>
            <w:r w:rsidRPr="000D157E">
              <w:rPr>
                <w:rFonts w:ascii="Arial" w:hAnsi="Arial"/>
                <w:sz w:val="24"/>
                <w:szCs w:val="24"/>
              </w:rPr>
              <w:tab/>
              <w:t>whether the placement has a residential component.</w:t>
            </w:r>
          </w:p>
          <w:p w14:paraId="0CE93760" w14:textId="77777777" w:rsidR="000D157E" w:rsidRPr="000D157E" w:rsidRDefault="000D157E" w:rsidP="000D157E">
            <w:pPr>
              <w:pStyle w:val="Body"/>
              <w:spacing w:line="360" w:lineRule="auto"/>
              <w:rPr>
                <w:rFonts w:ascii="Arial" w:hAnsi="Arial"/>
                <w:sz w:val="24"/>
                <w:szCs w:val="24"/>
              </w:rPr>
            </w:pPr>
          </w:p>
          <w:p w14:paraId="42BBDC3A" w14:textId="69FE0523" w:rsidR="000D157E" w:rsidRPr="009D125D" w:rsidRDefault="000D157E" w:rsidP="000D157E">
            <w:pPr>
              <w:pStyle w:val="Body"/>
              <w:spacing w:line="360" w:lineRule="auto"/>
              <w:rPr>
                <w:rFonts w:ascii="Arial" w:hAnsi="Arial"/>
                <w:sz w:val="24"/>
                <w:szCs w:val="24"/>
              </w:rPr>
            </w:pPr>
            <w:r w:rsidRPr="000D157E">
              <w:rPr>
                <w:rFonts w:ascii="Arial" w:hAnsi="Arial"/>
                <w:sz w:val="24"/>
                <w:szCs w:val="24"/>
              </w:rPr>
              <w:t>NB An adult supervising a young person aged between 16 and 18 years in a work placement is not in regulated activity for the purposes of a DBS check.</w:t>
            </w:r>
          </w:p>
        </w:tc>
      </w:tr>
      <w:tr w:rsidR="00421B96" w:rsidRPr="009D125D" w14:paraId="68F41FDF" w14:textId="77777777" w:rsidTr="000D157E">
        <w:tc>
          <w:tcPr>
            <w:tcW w:w="2447" w:type="dxa"/>
          </w:tcPr>
          <w:p w14:paraId="47C6C221" w14:textId="77777777" w:rsidR="00421B96" w:rsidRDefault="00421B96" w:rsidP="00B73566">
            <w:pPr>
              <w:pStyle w:val="Body"/>
              <w:spacing w:line="360" w:lineRule="auto"/>
              <w:rPr>
                <w:rFonts w:ascii="Arial" w:eastAsia="Arial" w:hAnsi="Arial" w:cs="Arial"/>
                <w:b/>
                <w:bCs/>
                <w:sz w:val="24"/>
                <w:szCs w:val="24"/>
                <w:u w:color="000000"/>
              </w:rPr>
            </w:pPr>
          </w:p>
        </w:tc>
        <w:tc>
          <w:tcPr>
            <w:tcW w:w="6569" w:type="dxa"/>
          </w:tcPr>
          <w:p w14:paraId="2F1237D1" w14:textId="77777777" w:rsidR="00421B96" w:rsidRPr="000D157E" w:rsidRDefault="00421B96" w:rsidP="000D157E">
            <w:pPr>
              <w:pStyle w:val="Body"/>
              <w:spacing w:line="360" w:lineRule="auto"/>
              <w:rPr>
                <w:rFonts w:ascii="Arial" w:hAnsi="Arial"/>
                <w:sz w:val="24"/>
                <w:szCs w:val="24"/>
              </w:rPr>
            </w:pPr>
          </w:p>
        </w:tc>
      </w:tr>
      <w:tr w:rsidR="00421B96" w:rsidRPr="009D125D" w14:paraId="5A9A26F4" w14:textId="77777777" w:rsidTr="000D157E">
        <w:tc>
          <w:tcPr>
            <w:tcW w:w="2447" w:type="dxa"/>
          </w:tcPr>
          <w:p w14:paraId="155A4ADA" w14:textId="75FBDFCC" w:rsidR="00421B96" w:rsidRDefault="00421B96" w:rsidP="00B73566">
            <w:pPr>
              <w:pStyle w:val="Body"/>
              <w:spacing w:line="360" w:lineRule="auto"/>
              <w:rPr>
                <w:rFonts w:ascii="Arial" w:eastAsia="Arial" w:hAnsi="Arial" w:cs="Arial"/>
                <w:b/>
                <w:bCs/>
                <w:sz w:val="24"/>
                <w:szCs w:val="24"/>
                <w:u w:color="000000"/>
              </w:rPr>
            </w:pPr>
            <w:r>
              <w:rPr>
                <w:rFonts w:ascii="Arial" w:eastAsia="Arial" w:hAnsi="Arial" w:cs="Arial"/>
                <w:b/>
                <w:bCs/>
                <w:sz w:val="24"/>
                <w:szCs w:val="24"/>
                <w:u w:color="000000"/>
              </w:rPr>
              <w:t>Health and Safety</w:t>
            </w:r>
          </w:p>
        </w:tc>
        <w:tc>
          <w:tcPr>
            <w:tcW w:w="6569" w:type="dxa"/>
          </w:tcPr>
          <w:p w14:paraId="0E5B90AB" w14:textId="475BAC56" w:rsidR="00421B96" w:rsidRPr="00421B96" w:rsidRDefault="00421B96" w:rsidP="00421B96">
            <w:pPr>
              <w:pStyle w:val="Body"/>
              <w:spacing w:line="360" w:lineRule="auto"/>
              <w:rPr>
                <w:rFonts w:ascii="Arial" w:hAnsi="Arial"/>
                <w:sz w:val="24"/>
                <w:szCs w:val="24"/>
              </w:rPr>
            </w:pPr>
            <w:r w:rsidRPr="00421B96">
              <w:rPr>
                <w:rFonts w:ascii="Arial" w:hAnsi="Arial"/>
                <w:sz w:val="24"/>
                <w:szCs w:val="24"/>
              </w:rPr>
              <w:t>The Management of Health and Safety at Work Regulations</w:t>
            </w:r>
          </w:p>
          <w:p w14:paraId="0BA5B8F2" w14:textId="77777777" w:rsidR="00421B96" w:rsidRDefault="00421B96" w:rsidP="00421B96">
            <w:pPr>
              <w:pStyle w:val="Body"/>
              <w:spacing w:line="360" w:lineRule="auto"/>
              <w:rPr>
                <w:rFonts w:ascii="Arial" w:hAnsi="Arial"/>
                <w:sz w:val="24"/>
                <w:szCs w:val="24"/>
              </w:rPr>
            </w:pPr>
            <w:r w:rsidRPr="00421B96">
              <w:rPr>
                <w:rFonts w:ascii="Arial" w:hAnsi="Arial"/>
                <w:sz w:val="24"/>
                <w:szCs w:val="24"/>
              </w:rPr>
              <w:t xml:space="preserve">set out specific requirements for the protection of young persons including avoiding harmful exposure to radiation or agents which may in any way chronically affect health and avoiding risks to health posed by excessive heat, cold, noise or vibration. </w:t>
            </w:r>
          </w:p>
          <w:p w14:paraId="091A2342" w14:textId="77777777" w:rsidR="00421B96" w:rsidRDefault="00421B96" w:rsidP="00421B96">
            <w:pPr>
              <w:pStyle w:val="Body"/>
              <w:spacing w:line="360" w:lineRule="auto"/>
              <w:rPr>
                <w:rFonts w:ascii="Arial" w:hAnsi="Arial"/>
                <w:sz w:val="24"/>
                <w:szCs w:val="24"/>
              </w:rPr>
            </w:pPr>
          </w:p>
          <w:p w14:paraId="35243D1B" w14:textId="51371D07" w:rsidR="00421B96" w:rsidRPr="00421B96" w:rsidRDefault="00421B96" w:rsidP="00421B96">
            <w:pPr>
              <w:pStyle w:val="Body"/>
              <w:spacing w:line="360" w:lineRule="auto"/>
              <w:rPr>
                <w:rFonts w:ascii="Arial" w:hAnsi="Arial"/>
                <w:sz w:val="24"/>
                <w:szCs w:val="24"/>
              </w:rPr>
            </w:pPr>
            <w:r w:rsidRPr="00421B96">
              <w:rPr>
                <w:rFonts w:ascii="Arial" w:hAnsi="Arial"/>
                <w:sz w:val="24"/>
                <w:szCs w:val="24"/>
              </w:rPr>
              <w:t xml:space="preserve">Also </w:t>
            </w:r>
            <w:r>
              <w:rPr>
                <w:rFonts w:ascii="Arial" w:hAnsi="Arial"/>
                <w:sz w:val="24"/>
                <w:szCs w:val="24"/>
              </w:rPr>
              <w:t xml:space="preserve">included is the need </w:t>
            </w:r>
            <w:r w:rsidRPr="00421B96">
              <w:rPr>
                <w:rFonts w:ascii="Arial" w:hAnsi="Arial"/>
                <w:sz w:val="24"/>
                <w:szCs w:val="24"/>
              </w:rPr>
              <w:t xml:space="preserve">to </w:t>
            </w:r>
            <w:proofErr w:type="gramStart"/>
            <w:r w:rsidRPr="00421B96">
              <w:rPr>
                <w:rFonts w:ascii="Arial" w:hAnsi="Arial"/>
                <w:sz w:val="24"/>
                <w:szCs w:val="24"/>
              </w:rPr>
              <w:t>take into account</w:t>
            </w:r>
            <w:proofErr w:type="gramEnd"/>
            <w:r w:rsidRPr="00421B96">
              <w:rPr>
                <w:rFonts w:ascii="Arial" w:hAnsi="Arial"/>
                <w:sz w:val="24"/>
                <w:szCs w:val="24"/>
              </w:rPr>
              <w:t xml:space="preserve"> their physical and psychological strength, concentration and reduced perception of danger. As stated above the Health and Safety at Work Act (1999 Reg 19) defines the term ‘children/child’ to apply to persons between birth and 16 years. Individuals of 16 and 17 years are ‘young persons’, anyone over 18 years is an adult.</w:t>
            </w:r>
          </w:p>
          <w:p w14:paraId="4A48FA91" w14:textId="77777777" w:rsidR="00421B96" w:rsidRPr="00421B96" w:rsidRDefault="00421B96" w:rsidP="00421B96">
            <w:pPr>
              <w:pStyle w:val="Body"/>
              <w:spacing w:line="360" w:lineRule="auto"/>
              <w:rPr>
                <w:rFonts w:ascii="Arial" w:hAnsi="Arial"/>
                <w:sz w:val="24"/>
                <w:szCs w:val="24"/>
              </w:rPr>
            </w:pPr>
          </w:p>
          <w:p w14:paraId="6CC16AA2" w14:textId="1370EB06" w:rsidR="00421B96" w:rsidRPr="00421B96" w:rsidRDefault="00421B96" w:rsidP="00421B96">
            <w:pPr>
              <w:pStyle w:val="Body"/>
              <w:spacing w:line="360" w:lineRule="auto"/>
              <w:rPr>
                <w:rFonts w:ascii="Arial" w:hAnsi="Arial"/>
                <w:sz w:val="24"/>
                <w:szCs w:val="24"/>
              </w:rPr>
            </w:pPr>
            <w:r w:rsidRPr="00421B96">
              <w:rPr>
                <w:rFonts w:ascii="Arial" w:hAnsi="Arial"/>
                <w:sz w:val="24"/>
                <w:szCs w:val="24"/>
              </w:rPr>
              <w:lastRenderedPageBreak/>
              <w:t>The Occupier’s Liability Act 1957 requires that an occupier must be prepared for children to be less careful than adults will be in a similar situation.  This will be even more so if the children are known to have learning difficulties or is known to have a medical condition which may make the child more vulnerable than the average to foresee risk or harm.</w:t>
            </w:r>
          </w:p>
          <w:p w14:paraId="5324C083" w14:textId="77777777" w:rsidR="00421B96" w:rsidRPr="00421B96" w:rsidRDefault="00421B96" w:rsidP="00421B96">
            <w:pPr>
              <w:pStyle w:val="Body"/>
              <w:spacing w:line="360" w:lineRule="auto"/>
              <w:rPr>
                <w:rFonts w:ascii="Arial" w:hAnsi="Arial"/>
                <w:sz w:val="24"/>
                <w:szCs w:val="24"/>
              </w:rPr>
            </w:pPr>
          </w:p>
          <w:p w14:paraId="43FA3E93" w14:textId="77777777" w:rsidR="00421B96" w:rsidRPr="00421B96" w:rsidRDefault="00421B96" w:rsidP="00421B96">
            <w:pPr>
              <w:pStyle w:val="Body"/>
              <w:spacing w:line="360" w:lineRule="auto"/>
              <w:rPr>
                <w:rFonts w:ascii="Arial" w:hAnsi="Arial"/>
                <w:sz w:val="24"/>
                <w:szCs w:val="24"/>
              </w:rPr>
            </w:pPr>
            <w:r w:rsidRPr="00421B96">
              <w:rPr>
                <w:rFonts w:ascii="Arial" w:hAnsi="Arial"/>
                <w:sz w:val="24"/>
                <w:szCs w:val="24"/>
              </w:rPr>
              <w:t>The University has statutory duties in relation to negligence and health and safety, these being:</w:t>
            </w:r>
          </w:p>
          <w:p w14:paraId="723F7733" w14:textId="77777777" w:rsidR="00421B96" w:rsidRPr="00421B96" w:rsidRDefault="00421B96" w:rsidP="00421B96">
            <w:pPr>
              <w:pStyle w:val="Body"/>
              <w:spacing w:line="360" w:lineRule="auto"/>
              <w:rPr>
                <w:rFonts w:ascii="Arial" w:hAnsi="Arial"/>
                <w:sz w:val="24"/>
                <w:szCs w:val="24"/>
              </w:rPr>
            </w:pPr>
          </w:p>
          <w:p w14:paraId="07CCCBA7" w14:textId="4A6167E4" w:rsidR="00421B96" w:rsidRDefault="00421B96" w:rsidP="00421B96">
            <w:pPr>
              <w:pStyle w:val="Body"/>
              <w:spacing w:line="360" w:lineRule="auto"/>
              <w:rPr>
                <w:rFonts w:ascii="Arial" w:hAnsi="Arial"/>
                <w:sz w:val="24"/>
                <w:szCs w:val="24"/>
              </w:rPr>
            </w:pPr>
            <w:r w:rsidRPr="00421B96">
              <w:rPr>
                <w:rFonts w:ascii="Arial" w:hAnsi="Arial"/>
                <w:sz w:val="24"/>
                <w:szCs w:val="24"/>
              </w:rPr>
              <w:t>•</w:t>
            </w:r>
            <w:r w:rsidRPr="00421B96">
              <w:rPr>
                <w:rFonts w:ascii="Arial" w:hAnsi="Arial"/>
                <w:sz w:val="24"/>
                <w:szCs w:val="24"/>
              </w:rPr>
              <w:tab/>
              <w:t xml:space="preserve">To take reasonable care to avoid acts or omissions which the University could reasonably foresee would be likely to cause </w:t>
            </w:r>
            <w:proofErr w:type="gramStart"/>
            <w:r w:rsidRPr="00421B96">
              <w:rPr>
                <w:rFonts w:ascii="Arial" w:hAnsi="Arial"/>
                <w:sz w:val="24"/>
                <w:szCs w:val="24"/>
              </w:rPr>
              <w:t>injury;</w:t>
            </w:r>
            <w:proofErr w:type="gramEnd"/>
          </w:p>
          <w:p w14:paraId="15DB6135" w14:textId="77777777" w:rsidR="00421B96" w:rsidRPr="00421B96" w:rsidRDefault="00421B96" w:rsidP="00421B96">
            <w:pPr>
              <w:pStyle w:val="Body"/>
              <w:spacing w:line="360" w:lineRule="auto"/>
              <w:rPr>
                <w:rFonts w:ascii="Arial" w:hAnsi="Arial"/>
                <w:sz w:val="24"/>
                <w:szCs w:val="24"/>
              </w:rPr>
            </w:pPr>
          </w:p>
          <w:p w14:paraId="56AD7D57" w14:textId="77777777" w:rsidR="00421B96" w:rsidRPr="00421B96" w:rsidRDefault="00421B96" w:rsidP="00421B96">
            <w:pPr>
              <w:pStyle w:val="Body"/>
              <w:spacing w:line="360" w:lineRule="auto"/>
              <w:rPr>
                <w:rFonts w:ascii="Arial" w:hAnsi="Arial"/>
                <w:sz w:val="24"/>
                <w:szCs w:val="24"/>
              </w:rPr>
            </w:pPr>
            <w:r w:rsidRPr="00421B96">
              <w:rPr>
                <w:rFonts w:ascii="Arial" w:hAnsi="Arial"/>
                <w:sz w:val="24"/>
                <w:szCs w:val="24"/>
              </w:rPr>
              <w:t>•</w:t>
            </w:r>
            <w:r w:rsidRPr="00421B96">
              <w:rPr>
                <w:rFonts w:ascii="Arial" w:hAnsi="Arial"/>
                <w:sz w:val="24"/>
                <w:szCs w:val="24"/>
              </w:rPr>
              <w:tab/>
              <w:t>To conduct the University’s undertaking in such a way as to ensure, so far as is reasonably practicable, that there is not an exposure to risks to health and safety.</w:t>
            </w:r>
          </w:p>
          <w:p w14:paraId="58AE4ADF" w14:textId="77777777" w:rsidR="00421B96" w:rsidRPr="00421B96" w:rsidRDefault="00421B96" w:rsidP="00421B96">
            <w:pPr>
              <w:pStyle w:val="Body"/>
              <w:spacing w:line="360" w:lineRule="auto"/>
              <w:rPr>
                <w:rFonts w:ascii="Arial" w:hAnsi="Arial"/>
                <w:sz w:val="24"/>
                <w:szCs w:val="24"/>
              </w:rPr>
            </w:pPr>
          </w:p>
          <w:p w14:paraId="43F64AA3" w14:textId="77777777" w:rsidR="00421B96" w:rsidRPr="000D157E" w:rsidRDefault="00421B96" w:rsidP="000D157E">
            <w:pPr>
              <w:pStyle w:val="Body"/>
              <w:spacing w:line="360" w:lineRule="auto"/>
              <w:rPr>
                <w:rFonts w:ascii="Arial" w:hAnsi="Arial"/>
                <w:sz w:val="24"/>
                <w:szCs w:val="24"/>
              </w:rPr>
            </w:pPr>
          </w:p>
        </w:tc>
      </w:tr>
      <w:tr w:rsidR="000D157E" w:rsidRPr="009D125D" w14:paraId="5F50B9C3" w14:textId="77777777" w:rsidTr="000D157E">
        <w:tc>
          <w:tcPr>
            <w:tcW w:w="2447" w:type="dxa"/>
          </w:tcPr>
          <w:p w14:paraId="5DD82C6C" w14:textId="77777777" w:rsidR="000D157E" w:rsidRDefault="000D157E" w:rsidP="00B73566">
            <w:pPr>
              <w:pStyle w:val="Body"/>
              <w:spacing w:line="360" w:lineRule="auto"/>
              <w:rPr>
                <w:rFonts w:ascii="Arial" w:eastAsia="Arial" w:hAnsi="Arial" w:cs="Arial"/>
                <w:b/>
                <w:bCs/>
                <w:sz w:val="24"/>
                <w:szCs w:val="24"/>
                <w:u w:color="000000"/>
              </w:rPr>
            </w:pPr>
          </w:p>
        </w:tc>
        <w:tc>
          <w:tcPr>
            <w:tcW w:w="6569" w:type="dxa"/>
          </w:tcPr>
          <w:p w14:paraId="492D061F" w14:textId="77777777" w:rsidR="000D157E" w:rsidRPr="009D125D" w:rsidRDefault="000D157E" w:rsidP="00B73566">
            <w:pPr>
              <w:pStyle w:val="Body"/>
              <w:spacing w:line="360" w:lineRule="auto"/>
              <w:rPr>
                <w:rFonts w:ascii="Arial" w:hAnsi="Arial"/>
                <w:sz w:val="24"/>
                <w:szCs w:val="24"/>
              </w:rPr>
            </w:pPr>
          </w:p>
        </w:tc>
      </w:tr>
    </w:tbl>
    <w:p w14:paraId="1235BA4B" w14:textId="5AC58ECB" w:rsidR="00F15813" w:rsidRDefault="00421B96" w:rsidP="009F6DA0">
      <w:pPr>
        <w:spacing w:after="160" w:line="259" w:lineRule="auto"/>
      </w:pPr>
    </w:p>
    <w:sectPr w:rsidR="00F1581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04A1C" w14:textId="77777777" w:rsidR="004D5D66" w:rsidRDefault="004D5D66" w:rsidP="009F6DA0">
      <w:r>
        <w:separator/>
      </w:r>
    </w:p>
  </w:endnote>
  <w:endnote w:type="continuationSeparator" w:id="0">
    <w:p w14:paraId="714A1F8C" w14:textId="77777777" w:rsidR="004D5D66" w:rsidRDefault="004D5D66" w:rsidP="009F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88439" w14:textId="77777777" w:rsidR="004D5D66" w:rsidRDefault="004D5D66" w:rsidP="009F6DA0">
      <w:r>
        <w:separator/>
      </w:r>
    </w:p>
  </w:footnote>
  <w:footnote w:type="continuationSeparator" w:id="0">
    <w:p w14:paraId="3F3D0AF1" w14:textId="77777777" w:rsidR="004D5D66" w:rsidRDefault="004D5D66" w:rsidP="009F6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025F2" w14:textId="21A7DBDB" w:rsidR="009D125D" w:rsidRDefault="009D125D">
    <w:pPr>
      <w:pStyle w:val="Header"/>
    </w:pPr>
    <w:r>
      <w:rPr>
        <w:noProof/>
      </w:rPr>
      <mc:AlternateContent>
        <mc:Choice Requires="wps">
          <w:drawing>
            <wp:anchor distT="0" distB="0" distL="114300" distR="114300" simplePos="0" relativeHeight="251659264" behindDoc="0" locked="0" layoutInCell="1" allowOverlap="1" wp14:anchorId="3FAA1E26" wp14:editId="55F44DBC">
              <wp:simplePos x="0" y="0"/>
              <wp:positionH relativeFrom="margin">
                <wp:posOffset>-28575</wp:posOffset>
              </wp:positionH>
              <wp:positionV relativeFrom="paragraph">
                <wp:posOffset>370840</wp:posOffset>
              </wp:positionV>
              <wp:extent cx="5985052" cy="0"/>
              <wp:effectExtent l="38100" t="38100" r="53975" b="95250"/>
              <wp:wrapNone/>
              <wp:docPr id="2" name="Straight Connector 2"/>
              <wp:cNvGraphicFramePr/>
              <a:graphic xmlns:a="http://schemas.openxmlformats.org/drawingml/2006/main">
                <a:graphicData uri="http://schemas.microsoft.com/office/word/2010/wordprocessingShape">
                  <wps:wsp>
                    <wps:cNvCnPr/>
                    <wps:spPr>
                      <a:xfrm flipV="1">
                        <a:off x="0" y="0"/>
                        <a:ext cx="5985052" cy="0"/>
                      </a:xfrm>
                      <a:prstGeom prst="line">
                        <a:avLst/>
                      </a:prstGeom>
                      <a:ln>
                        <a:solidFill>
                          <a:schemeClr val="tx1">
                            <a:lumMod val="95000"/>
                            <a:lumOff val="5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B684C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29.2pt" to="469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" strokecolor="#0d0d0d [3069]"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FF6F5D"/>
    <w:multiLevelType w:val="hybridMultilevel"/>
    <w:tmpl w:val="375C4A1A"/>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 w15:restartNumberingAfterBreak="0">
    <w:nsid w:val="45DD7BBA"/>
    <w:multiLevelType w:val="hybridMultilevel"/>
    <w:tmpl w:val="D65042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DA0"/>
    <w:rsid w:val="000629B9"/>
    <w:rsid w:val="000C6507"/>
    <w:rsid w:val="000D157E"/>
    <w:rsid w:val="000F1B1E"/>
    <w:rsid w:val="001B505D"/>
    <w:rsid w:val="00421B96"/>
    <w:rsid w:val="004D5D66"/>
    <w:rsid w:val="008D2824"/>
    <w:rsid w:val="009D125D"/>
    <w:rsid w:val="009F6DA0"/>
    <w:rsid w:val="00BB4632"/>
    <w:rsid w:val="00C56F39"/>
    <w:rsid w:val="00EB6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BB5A"/>
  <w15:chartTrackingRefBased/>
  <w15:docId w15:val="{40EE0886-D8B2-4068-AA95-143E66FD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DA0"/>
    <w:pPr>
      <w:spacing w:after="0" w:line="240" w:lineRule="auto"/>
    </w:pPr>
    <w:rPr>
      <w:rFonts w:ascii="Arial" w:eastAsia="Times New Roman" w:hAnsi="Arial" w:cs="Times New Roman"/>
      <w:sz w:val="24"/>
      <w:szCs w:val="24"/>
    </w:rPr>
  </w:style>
  <w:style w:type="paragraph" w:styleId="Heading1">
    <w:name w:val="heading 1"/>
    <w:basedOn w:val="Normal"/>
    <w:link w:val="Heading1Char"/>
    <w:uiPriority w:val="9"/>
    <w:qFormat/>
    <w:rsid w:val="009D125D"/>
    <w:pPr>
      <w:widowControl w:val="0"/>
      <w:autoSpaceDE w:val="0"/>
      <w:autoSpaceDN w:val="0"/>
      <w:ind w:left="100"/>
      <w:outlineLvl w:val="0"/>
    </w:pPr>
    <w:rPr>
      <w:rFonts w:eastAsia="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8"/>
    <w:qFormat/>
    <w:rsid w:val="009F6DA0"/>
    <w:pPr>
      <w:spacing w:after="0" w:line="240" w:lineRule="auto"/>
      <w:contextualSpacing/>
    </w:pPr>
    <w:rPr>
      <w:rFonts w:ascii="Microsoft Sans Serif" w:hAnsi="Microsoft Sans Serif"/>
      <w:sz w:val="24"/>
    </w:rPr>
  </w:style>
  <w:style w:type="character" w:customStyle="1" w:styleId="NoSpacingChar">
    <w:name w:val="No Spacing Char"/>
    <w:basedOn w:val="DefaultParagraphFont"/>
    <w:link w:val="NoSpacing"/>
    <w:uiPriority w:val="8"/>
    <w:rsid w:val="009F6DA0"/>
    <w:rPr>
      <w:rFonts w:ascii="Microsoft Sans Serif" w:hAnsi="Microsoft Sans Serif"/>
      <w:sz w:val="24"/>
    </w:rPr>
  </w:style>
  <w:style w:type="paragraph" w:styleId="ListParagraph">
    <w:name w:val="List Paragraph"/>
    <w:basedOn w:val="Normal"/>
    <w:uiPriority w:val="34"/>
    <w:unhideWhenUsed/>
    <w:qFormat/>
    <w:rsid w:val="009F6DA0"/>
    <w:pPr>
      <w:spacing w:after="200" w:line="276" w:lineRule="auto"/>
      <w:ind w:left="720"/>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9F6DA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F6DA0"/>
    <w:rPr>
      <w:sz w:val="20"/>
      <w:szCs w:val="20"/>
    </w:rPr>
  </w:style>
  <w:style w:type="character" w:styleId="FootnoteReference">
    <w:name w:val="footnote reference"/>
    <w:basedOn w:val="DefaultParagraphFont"/>
    <w:uiPriority w:val="99"/>
    <w:semiHidden/>
    <w:unhideWhenUsed/>
    <w:rsid w:val="009F6DA0"/>
    <w:rPr>
      <w:vertAlign w:val="superscript"/>
    </w:rPr>
  </w:style>
  <w:style w:type="paragraph" w:customStyle="1" w:styleId="Body">
    <w:name w:val="Body"/>
    <w:rsid w:val="009D125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table" w:styleId="TableGrid">
    <w:name w:val="Table Grid"/>
    <w:basedOn w:val="TableNormal"/>
    <w:uiPriority w:val="59"/>
    <w:rsid w:val="009D1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D125D"/>
    <w:rPr>
      <w:rFonts w:ascii="Arial" w:eastAsia="Arial" w:hAnsi="Arial" w:cs="Arial"/>
      <w:b/>
      <w:bCs/>
      <w:sz w:val="24"/>
      <w:szCs w:val="24"/>
    </w:rPr>
  </w:style>
  <w:style w:type="paragraph" w:styleId="Header">
    <w:name w:val="header"/>
    <w:basedOn w:val="Normal"/>
    <w:link w:val="HeaderChar"/>
    <w:uiPriority w:val="99"/>
    <w:unhideWhenUsed/>
    <w:rsid w:val="009D125D"/>
    <w:pPr>
      <w:tabs>
        <w:tab w:val="center" w:pos="4513"/>
        <w:tab w:val="right" w:pos="9026"/>
      </w:tabs>
    </w:pPr>
  </w:style>
  <w:style w:type="character" w:customStyle="1" w:styleId="HeaderChar">
    <w:name w:val="Header Char"/>
    <w:basedOn w:val="DefaultParagraphFont"/>
    <w:link w:val="Header"/>
    <w:uiPriority w:val="99"/>
    <w:rsid w:val="009D125D"/>
    <w:rPr>
      <w:rFonts w:ascii="Arial" w:eastAsia="Times New Roman" w:hAnsi="Arial" w:cs="Times New Roman"/>
      <w:sz w:val="24"/>
      <w:szCs w:val="24"/>
    </w:rPr>
  </w:style>
  <w:style w:type="paragraph" w:styleId="Footer">
    <w:name w:val="footer"/>
    <w:basedOn w:val="Normal"/>
    <w:link w:val="FooterChar"/>
    <w:uiPriority w:val="99"/>
    <w:unhideWhenUsed/>
    <w:rsid w:val="009D125D"/>
    <w:pPr>
      <w:tabs>
        <w:tab w:val="center" w:pos="4513"/>
        <w:tab w:val="right" w:pos="9026"/>
      </w:tabs>
    </w:pPr>
  </w:style>
  <w:style w:type="character" w:customStyle="1" w:styleId="FooterChar">
    <w:name w:val="Footer Char"/>
    <w:basedOn w:val="DefaultParagraphFont"/>
    <w:link w:val="Footer"/>
    <w:uiPriority w:val="99"/>
    <w:rsid w:val="009D125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Johnson</dc:creator>
  <cp:keywords/>
  <dc:description/>
  <cp:lastModifiedBy>Beth John</cp:lastModifiedBy>
  <cp:revision>4</cp:revision>
  <dcterms:created xsi:type="dcterms:W3CDTF">2020-04-21T09:27:00Z</dcterms:created>
  <dcterms:modified xsi:type="dcterms:W3CDTF">2020-04-21T10:08:00Z</dcterms:modified>
</cp:coreProperties>
</file>