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8B39D" w14:textId="6993E448" w:rsidR="006B064E" w:rsidRDefault="006B064E" w:rsidP="006B064E">
      <w:pPr>
        <w:spacing w:after="200" w:line="276" w:lineRule="auto"/>
        <w:rPr>
          <w:rFonts w:ascii="Palatino Linotype" w:hAnsi="Palatino Linotype" w:cs="Courier New"/>
          <w:sz w:val="22"/>
          <w:szCs w:val="22"/>
          <w:lang w:bidi="he-IL"/>
        </w:rPr>
      </w:pPr>
    </w:p>
    <w:tbl>
      <w:tblPr>
        <w:tblStyle w:val="TableGrid"/>
        <w:tblW w:w="0" w:type="auto"/>
        <w:tblLook w:val="04A0" w:firstRow="1" w:lastRow="0" w:firstColumn="1" w:lastColumn="0" w:noHBand="0" w:noVBand="1"/>
      </w:tblPr>
      <w:tblGrid>
        <w:gridCol w:w="4508"/>
        <w:gridCol w:w="4508"/>
      </w:tblGrid>
      <w:tr w:rsidR="00BB0439" w14:paraId="00F1F6EC" w14:textId="77777777" w:rsidTr="0001560E">
        <w:tc>
          <w:tcPr>
            <w:tcW w:w="9016" w:type="dxa"/>
            <w:gridSpan w:val="2"/>
          </w:tcPr>
          <w:p w14:paraId="5A1F61A6" w14:textId="50C43068" w:rsidR="00BB0439" w:rsidRDefault="0074432E" w:rsidP="000A6373">
            <w:pPr>
              <w:spacing w:after="160" w:line="259" w:lineRule="auto"/>
              <w:rPr>
                <w:rFonts w:asciiTheme="minorHAnsi" w:hAnsiTheme="minorHAnsi" w:cs="Courier New"/>
                <w:b/>
                <w:sz w:val="22"/>
                <w:szCs w:val="22"/>
                <w:lang w:bidi="he-IL"/>
              </w:rPr>
            </w:pPr>
            <w:r>
              <w:rPr>
                <w:rFonts w:asciiTheme="minorHAnsi" w:hAnsiTheme="minorHAnsi" w:cs="Courier New"/>
                <w:b/>
                <w:noProof/>
                <w:sz w:val="22"/>
                <w:szCs w:val="22"/>
                <w:lang w:bidi="cy"/>
              </w:rPr>
              <w:drawing>
                <wp:inline distT="0" distB="0" distL="0" distR="0" wp14:anchorId="1BB17B8D" wp14:editId="0F2D4894">
                  <wp:extent cx="859790" cy="865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9790" cy="865505"/>
                          </a:xfrm>
                          <a:prstGeom prst="rect">
                            <a:avLst/>
                          </a:prstGeom>
                          <a:noFill/>
                        </pic:spPr>
                      </pic:pic>
                    </a:graphicData>
                  </a:graphic>
                </wp:inline>
              </w:drawing>
            </w:r>
          </w:p>
        </w:tc>
      </w:tr>
      <w:tr w:rsidR="000A6373" w14:paraId="4996122E" w14:textId="77777777" w:rsidTr="000A6373">
        <w:tc>
          <w:tcPr>
            <w:tcW w:w="4508" w:type="dxa"/>
          </w:tcPr>
          <w:p w14:paraId="49663D5C" w14:textId="1E71944C" w:rsidR="000A6373" w:rsidRPr="000A6373" w:rsidRDefault="000A6373" w:rsidP="000A6373">
            <w:pPr>
              <w:spacing w:after="160" w:line="259" w:lineRule="auto"/>
              <w:rPr>
                <w:rFonts w:asciiTheme="minorHAnsi" w:hAnsiTheme="minorHAnsi" w:cs="Courier New"/>
                <w:b/>
                <w:sz w:val="22"/>
                <w:szCs w:val="22"/>
                <w:lang w:bidi="he-IL"/>
              </w:rPr>
            </w:pPr>
            <w:r w:rsidRPr="000A6373">
              <w:rPr>
                <w:rFonts w:asciiTheme="minorHAnsi" w:hAnsiTheme="minorHAnsi" w:cs="Courier New"/>
                <w:b/>
                <w:sz w:val="22"/>
                <w:szCs w:val="22"/>
                <w:lang w:bidi="cy"/>
              </w:rPr>
              <w:t xml:space="preserve">Teitl y ddogfen: </w:t>
            </w:r>
          </w:p>
          <w:p w14:paraId="5D9A7880" w14:textId="723247B2" w:rsidR="000A6373" w:rsidRDefault="000A6373" w:rsidP="000A6373">
            <w:pPr>
              <w:spacing w:after="160" w:line="259" w:lineRule="auto"/>
              <w:rPr>
                <w:rFonts w:asciiTheme="minorHAnsi" w:hAnsiTheme="minorHAnsi" w:cs="Courier New"/>
                <w:b/>
                <w:sz w:val="22"/>
                <w:szCs w:val="22"/>
                <w:lang w:bidi="he-IL"/>
              </w:rPr>
            </w:pPr>
            <w:r w:rsidRPr="000A6373">
              <w:rPr>
                <w:rFonts w:asciiTheme="minorHAnsi" w:hAnsiTheme="minorHAnsi" w:cs="Courier New"/>
                <w:sz w:val="22"/>
                <w:szCs w:val="22"/>
                <w:lang w:bidi="cy"/>
              </w:rPr>
              <w:t xml:space="preserve"> </w:t>
            </w:r>
          </w:p>
        </w:tc>
        <w:tc>
          <w:tcPr>
            <w:tcW w:w="4508" w:type="dxa"/>
          </w:tcPr>
          <w:p w14:paraId="0A0DAC42" w14:textId="0E183F28" w:rsidR="000A6373" w:rsidRPr="00BB0439" w:rsidRDefault="000A6373" w:rsidP="000A6373">
            <w:pPr>
              <w:spacing w:after="160" w:line="259" w:lineRule="auto"/>
              <w:rPr>
                <w:rFonts w:asciiTheme="minorHAnsi" w:hAnsiTheme="minorHAnsi" w:cs="Courier New"/>
                <w:bCs/>
                <w:sz w:val="22"/>
                <w:szCs w:val="22"/>
                <w:lang w:bidi="he-IL"/>
              </w:rPr>
            </w:pPr>
            <w:bookmarkStart w:id="0" w:name="_Hlk66961300"/>
            <w:r w:rsidRPr="000A6373">
              <w:rPr>
                <w:rFonts w:asciiTheme="minorHAnsi" w:hAnsiTheme="minorHAnsi" w:cs="Courier New"/>
                <w:sz w:val="22"/>
                <w:szCs w:val="22"/>
                <w:lang w:bidi="cy"/>
              </w:rPr>
              <w:t>Gonestrwydd Gwaith Ymchwil Prifysgol Caerdydd -Cydymffurfio â Gofynion Gwrthdaro Buddiannau Allanol</w:t>
            </w:r>
            <w:bookmarkEnd w:id="0"/>
            <w:r w:rsidRPr="000A6373">
              <w:rPr>
                <w:rFonts w:asciiTheme="minorHAnsi" w:hAnsiTheme="minorHAnsi" w:cs="Courier New"/>
                <w:sz w:val="22"/>
                <w:szCs w:val="22"/>
                <w:lang w:bidi="cy"/>
              </w:rPr>
              <w:t xml:space="preserve"> ('y Polisi')</w:t>
            </w:r>
          </w:p>
        </w:tc>
      </w:tr>
      <w:tr w:rsidR="000A6373" w14:paraId="45D8E96B" w14:textId="77777777" w:rsidTr="000A6373">
        <w:tc>
          <w:tcPr>
            <w:tcW w:w="4508" w:type="dxa"/>
          </w:tcPr>
          <w:p w14:paraId="60AADDD7" w14:textId="436BCC81" w:rsidR="000A6373" w:rsidRPr="000A6373" w:rsidRDefault="000A6373" w:rsidP="000A6373">
            <w:pPr>
              <w:spacing w:after="160" w:line="259" w:lineRule="auto"/>
              <w:rPr>
                <w:rFonts w:asciiTheme="minorHAnsi" w:hAnsiTheme="minorHAnsi" w:cs="Courier New"/>
                <w:b/>
                <w:sz w:val="22"/>
                <w:szCs w:val="22"/>
                <w:lang w:bidi="he-IL"/>
              </w:rPr>
            </w:pPr>
            <w:r w:rsidRPr="000A6373">
              <w:rPr>
                <w:rFonts w:asciiTheme="minorHAnsi" w:hAnsiTheme="minorHAnsi" w:cs="Courier New"/>
                <w:b/>
                <w:sz w:val="22"/>
                <w:szCs w:val="22"/>
                <w:lang w:bidi="cy"/>
              </w:rPr>
              <w:t>Awdur(on) (enw, teitl y</w:t>
            </w:r>
          </w:p>
          <w:p w14:paraId="160D7E33" w14:textId="77777777" w:rsidR="000A6373" w:rsidRPr="000A6373" w:rsidRDefault="000A6373" w:rsidP="000A6373">
            <w:pPr>
              <w:spacing w:after="160" w:line="259" w:lineRule="auto"/>
              <w:rPr>
                <w:rFonts w:asciiTheme="minorHAnsi" w:hAnsiTheme="minorHAnsi" w:cs="Courier New"/>
                <w:b/>
                <w:sz w:val="22"/>
                <w:szCs w:val="22"/>
                <w:lang w:bidi="he-IL"/>
              </w:rPr>
            </w:pPr>
            <w:r w:rsidRPr="000A6373">
              <w:rPr>
                <w:rFonts w:asciiTheme="minorHAnsi" w:hAnsiTheme="minorHAnsi" w:cs="Courier New"/>
                <w:b/>
                <w:sz w:val="22"/>
                <w:szCs w:val="22"/>
                <w:lang w:bidi="cy"/>
              </w:rPr>
              <w:t>swydd ac Adran):</w:t>
            </w:r>
          </w:p>
          <w:p w14:paraId="1D443D03" w14:textId="1EAF3AB4" w:rsidR="000A6373" w:rsidRDefault="000A6373" w:rsidP="000A6373">
            <w:pPr>
              <w:spacing w:after="160" w:line="259" w:lineRule="auto"/>
              <w:rPr>
                <w:rFonts w:asciiTheme="minorHAnsi" w:hAnsiTheme="minorHAnsi" w:cs="Courier New"/>
                <w:b/>
                <w:sz w:val="22"/>
                <w:szCs w:val="22"/>
                <w:lang w:bidi="he-IL"/>
              </w:rPr>
            </w:pPr>
          </w:p>
        </w:tc>
        <w:tc>
          <w:tcPr>
            <w:tcW w:w="4508" w:type="dxa"/>
          </w:tcPr>
          <w:p w14:paraId="69DDDDF9" w14:textId="6B2B7C5E" w:rsidR="000A6373" w:rsidRDefault="00CA2000" w:rsidP="00BB0439">
            <w:pPr>
              <w:spacing w:after="160" w:line="259" w:lineRule="auto"/>
              <w:rPr>
                <w:rFonts w:asciiTheme="minorHAnsi" w:hAnsiTheme="minorHAnsi" w:cs="Courier New"/>
                <w:bCs/>
                <w:sz w:val="22"/>
                <w:szCs w:val="22"/>
                <w:lang w:bidi="he-IL"/>
              </w:rPr>
            </w:pPr>
            <w:r>
              <w:rPr>
                <w:rFonts w:asciiTheme="minorHAnsi" w:hAnsiTheme="minorHAnsi" w:cs="Courier New"/>
                <w:sz w:val="22"/>
                <w:szCs w:val="22"/>
                <w:lang w:bidi="cy"/>
              </w:rPr>
              <w:t>Laura Hallez, Uwch-gynghorydd Risg, Swyddfa Ysgrifennydd y Brifysgol</w:t>
            </w:r>
          </w:p>
          <w:p w14:paraId="055B15FD" w14:textId="6CF4C06B" w:rsidR="00CA2000" w:rsidRDefault="00CA2000" w:rsidP="00BB0439">
            <w:pPr>
              <w:spacing w:after="160" w:line="259" w:lineRule="auto"/>
              <w:rPr>
                <w:rFonts w:asciiTheme="minorHAnsi" w:hAnsiTheme="minorHAnsi" w:cs="Courier New"/>
                <w:bCs/>
                <w:sz w:val="22"/>
                <w:szCs w:val="22"/>
                <w:lang w:bidi="he-IL"/>
              </w:rPr>
            </w:pPr>
            <w:r>
              <w:rPr>
                <w:rFonts w:asciiTheme="minorHAnsi" w:hAnsiTheme="minorHAnsi" w:cs="Courier New"/>
                <w:sz w:val="22"/>
                <w:szCs w:val="22"/>
                <w:lang w:bidi="cy"/>
              </w:rPr>
              <w:t xml:space="preserve">Catrin Morgan, Pennaeth Cydymffurfiaeth a Risg, Swyddfa Ysgrifennydd y Brifysgol </w:t>
            </w:r>
          </w:p>
          <w:p w14:paraId="5DE56ECF" w14:textId="15A16D8F" w:rsidR="00CA2000" w:rsidRPr="00CA2000" w:rsidRDefault="00CA2000" w:rsidP="00BB0439">
            <w:pPr>
              <w:spacing w:after="160" w:line="259" w:lineRule="auto"/>
              <w:rPr>
                <w:rFonts w:asciiTheme="minorHAnsi" w:hAnsiTheme="minorHAnsi" w:cs="Courier New"/>
                <w:b/>
                <w:bCs/>
                <w:sz w:val="22"/>
                <w:szCs w:val="22"/>
                <w:lang w:bidi="he-IL"/>
              </w:rPr>
            </w:pPr>
            <w:r>
              <w:rPr>
                <w:rFonts w:asciiTheme="minorHAnsi" w:hAnsiTheme="minorHAnsi" w:cs="Courier New"/>
                <w:sz w:val="22"/>
                <w:szCs w:val="22"/>
                <w:lang w:bidi="cy"/>
              </w:rPr>
              <w:t>Goruchwylio polisi/perchnogaeth: Elid Morris, Pennaeth Grantiau a Chontractau Ymchwil</w:t>
            </w:r>
          </w:p>
        </w:tc>
      </w:tr>
      <w:tr w:rsidR="000A6373" w14:paraId="2A2C6BF3" w14:textId="77777777" w:rsidTr="000A6373">
        <w:tc>
          <w:tcPr>
            <w:tcW w:w="4508" w:type="dxa"/>
          </w:tcPr>
          <w:p w14:paraId="2D7F8F21" w14:textId="2850CB41" w:rsidR="000A6373" w:rsidRDefault="000A6373" w:rsidP="000A6373">
            <w:pPr>
              <w:spacing w:after="160" w:line="259" w:lineRule="auto"/>
              <w:rPr>
                <w:rFonts w:asciiTheme="minorHAnsi" w:hAnsiTheme="minorHAnsi" w:cs="Courier New"/>
                <w:b/>
                <w:sz w:val="22"/>
                <w:szCs w:val="22"/>
                <w:lang w:bidi="he-IL"/>
              </w:rPr>
            </w:pPr>
            <w:r w:rsidRPr="000A6373">
              <w:rPr>
                <w:rFonts w:asciiTheme="minorHAnsi" w:hAnsiTheme="minorHAnsi" w:cs="Courier New"/>
                <w:b/>
                <w:sz w:val="22"/>
                <w:szCs w:val="22"/>
                <w:lang w:bidi="cy"/>
              </w:rPr>
              <w:t>Rhif y Fersiwn:</w:t>
            </w:r>
          </w:p>
        </w:tc>
        <w:tc>
          <w:tcPr>
            <w:tcW w:w="4508" w:type="dxa"/>
          </w:tcPr>
          <w:p w14:paraId="11A2B5FD" w14:textId="30B3552F" w:rsidR="000A6373" w:rsidRDefault="00BB0439" w:rsidP="000A6373">
            <w:pPr>
              <w:spacing w:after="160" w:line="259" w:lineRule="auto"/>
              <w:rPr>
                <w:rFonts w:asciiTheme="minorHAnsi" w:hAnsiTheme="minorHAnsi" w:cs="Courier New"/>
                <w:b/>
                <w:sz w:val="22"/>
                <w:szCs w:val="22"/>
                <w:lang w:bidi="he-IL"/>
              </w:rPr>
            </w:pPr>
            <w:r>
              <w:rPr>
                <w:rFonts w:asciiTheme="minorHAnsi" w:hAnsiTheme="minorHAnsi" w:cs="Courier New"/>
                <w:b/>
                <w:sz w:val="22"/>
                <w:szCs w:val="22"/>
                <w:lang w:bidi="cy"/>
              </w:rPr>
              <w:t>F 1</w:t>
            </w:r>
          </w:p>
        </w:tc>
      </w:tr>
      <w:tr w:rsidR="000A6373" w14:paraId="1756203D" w14:textId="77777777" w:rsidTr="000A6373">
        <w:tc>
          <w:tcPr>
            <w:tcW w:w="4508" w:type="dxa"/>
          </w:tcPr>
          <w:p w14:paraId="351B2B4B" w14:textId="77777777" w:rsidR="000A6373" w:rsidRPr="000A6373" w:rsidRDefault="000A6373" w:rsidP="000A6373">
            <w:pPr>
              <w:spacing w:after="160" w:line="259" w:lineRule="auto"/>
              <w:rPr>
                <w:rFonts w:asciiTheme="minorHAnsi" w:hAnsiTheme="minorHAnsi" w:cs="Courier New"/>
                <w:b/>
                <w:sz w:val="22"/>
                <w:szCs w:val="22"/>
                <w:lang w:bidi="he-IL"/>
              </w:rPr>
            </w:pPr>
            <w:r w:rsidRPr="000A6373">
              <w:rPr>
                <w:rFonts w:asciiTheme="minorHAnsi" w:hAnsiTheme="minorHAnsi" w:cs="Courier New"/>
                <w:b/>
                <w:sz w:val="22"/>
                <w:szCs w:val="22"/>
                <w:lang w:bidi="cy"/>
              </w:rPr>
              <w:t xml:space="preserve">Statws y Ddogfen: </w:t>
            </w:r>
          </w:p>
          <w:p w14:paraId="0536163C" w14:textId="77777777" w:rsidR="000A6373" w:rsidRDefault="000A6373" w:rsidP="000A6373">
            <w:pPr>
              <w:spacing w:after="160" w:line="259" w:lineRule="auto"/>
              <w:rPr>
                <w:rFonts w:asciiTheme="minorHAnsi" w:hAnsiTheme="minorHAnsi" w:cs="Courier New"/>
                <w:b/>
                <w:sz w:val="22"/>
                <w:szCs w:val="22"/>
                <w:lang w:bidi="he-IL"/>
              </w:rPr>
            </w:pPr>
          </w:p>
        </w:tc>
        <w:tc>
          <w:tcPr>
            <w:tcW w:w="4508" w:type="dxa"/>
          </w:tcPr>
          <w:p w14:paraId="06FF9DD1" w14:textId="67A83797" w:rsidR="000A6373" w:rsidRDefault="00CA2000" w:rsidP="000A6373">
            <w:pPr>
              <w:spacing w:after="160" w:line="259" w:lineRule="auto"/>
              <w:rPr>
                <w:rFonts w:asciiTheme="minorHAnsi" w:hAnsiTheme="minorHAnsi" w:cs="Courier New"/>
                <w:b/>
                <w:sz w:val="22"/>
                <w:szCs w:val="22"/>
                <w:lang w:bidi="he-IL"/>
              </w:rPr>
            </w:pPr>
            <w:r>
              <w:rPr>
                <w:rFonts w:asciiTheme="minorHAnsi" w:hAnsiTheme="minorHAnsi" w:cs="Courier New"/>
                <w:b/>
                <w:sz w:val="22"/>
                <w:szCs w:val="22"/>
                <w:lang w:bidi="cy"/>
              </w:rPr>
              <w:t xml:space="preserve">Drafft </w:t>
            </w:r>
          </w:p>
        </w:tc>
      </w:tr>
      <w:tr w:rsidR="000A6373" w14:paraId="49F38BDF" w14:textId="77777777" w:rsidTr="000A6373">
        <w:tc>
          <w:tcPr>
            <w:tcW w:w="4508" w:type="dxa"/>
          </w:tcPr>
          <w:p w14:paraId="5E1F784F" w14:textId="3FC15604" w:rsidR="000A6373" w:rsidRDefault="000A6373" w:rsidP="000A6373">
            <w:pPr>
              <w:spacing w:after="160" w:line="259" w:lineRule="auto"/>
              <w:rPr>
                <w:rFonts w:asciiTheme="minorHAnsi" w:hAnsiTheme="minorHAnsi" w:cs="Courier New"/>
                <w:b/>
                <w:sz w:val="22"/>
                <w:szCs w:val="22"/>
                <w:lang w:bidi="he-IL"/>
              </w:rPr>
            </w:pPr>
            <w:r w:rsidRPr="000A6373">
              <w:rPr>
                <w:rFonts w:asciiTheme="minorHAnsi" w:hAnsiTheme="minorHAnsi" w:cs="Courier New"/>
                <w:b/>
                <w:sz w:val="22"/>
                <w:szCs w:val="22"/>
                <w:lang w:bidi="cy"/>
              </w:rPr>
              <w:t>Dyddiad Cymeradwyo:</w:t>
            </w:r>
          </w:p>
        </w:tc>
        <w:tc>
          <w:tcPr>
            <w:tcW w:w="4508" w:type="dxa"/>
          </w:tcPr>
          <w:p w14:paraId="785758B8" w14:textId="77777777" w:rsidR="000A6373" w:rsidRDefault="000A6373" w:rsidP="000A6373">
            <w:pPr>
              <w:spacing w:after="160" w:line="259" w:lineRule="auto"/>
              <w:rPr>
                <w:rFonts w:asciiTheme="minorHAnsi" w:hAnsiTheme="minorHAnsi" w:cs="Courier New"/>
                <w:b/>
                <w:sz w:val="22"/>
                <w:szCs w:val="22"/>
                <w:lang w:bidi="he-IL"/>
              </w:rPr>
            </w:pPr>
          </w:p>
        </w:tc>
      </w:tr>
      <w:tr w:rsidR="000A6373" w14:paraId="384898D9" w14:textId="77777777" w:rsidTr="000A6373">
        <w:tc>
          <w:tcPr>
            <w:tcW w:w="4508" w:type="dxa"/>
          </w:tcPr>
          <w:p w14:paraId="1F49BBC3" w14:textId="05F73A8E" w:rsidR="000A6373" w:rsidRDefault="000A6373" w:rsidP="000A6373">
            <w:pPr>
              <w:spacing w:after="160" w:line="259" w:lineRule="auto"/>
              <w:rPr>
                <w:rFonts w:asciiTheme="minorHAnsi" w:hAnsiTheme="minorHAnsi" w:cs="Courier New"/>
                <w:b/>
                <w:sz w:val="22"/>
                <w:szCs w:val="22"/>
                <w:lang w:bidi="he-IL"/>
              </w:rPr>
            </w:pPr>
            <w:r w:rsidRPr="000A6373">
              <w:rPr>
                <w:rFonts w:asciiTheme="minorHAnsi" w:hAnsiTheme="minorHAnsi" w:cs="Courier New"/>
                <w:b/>
                <w:sz w:val="22"/>
                <w:szCs w:val="22"/>
                <w:lang w:bidi="cy"/>
              </w:rPr>
              <w:t>Cymeradwywyd Gan:</w:t>
            </w:r>
          </w:p>
        </w:tc>
        <w:tc>
          <w:tcPr>
            <w:tcW w:w="4508" w:type="dxa"/>
          </w:tcPr>
          <w:p w14:paraId="6AB4E1D5" w14:textId="77777777" w:rsidR="000A6373" w:rsidRDefault="000A6373" w:rsidP="000A6373">
            <w:pPr>
              <w:spacing w:after="160" w:line="259" w:lineRule="auto"/>
              <w:rPr>
                <w:rFonts w:asciiTheme="minorHAnsi" w:hAnsiTheme="minorHAnsi" w:cs="Courier New"/>
                <w:b/>
                <w:sz w:val="22"/>
                <w:szCs w:val="22"/>
                <w:lang w:bidi="he-IL"/>
              </w:rPr>
            </w:pPr>
          </w:p>
        </w:tc>
      </w:tr>
      <w:tr w:rsidR="000A6373" w14:paraId="6D8223ED" w14:textId="77777777" w:rsidTr="000A6373">
        <w:tc>
          <w:tcPr>
            <w:tcW w:w="4508" w:type="dxa"/>
          </w:tcPr>
          <w:p w14:paraId="541C88F5" w14:textId="45B5AEED" w:rsidR="000A6373" w:rsidRDefault="000A6373" w:rsidP="000A6373">
            <w:pPr>
              <w:spacing w:after="160" w:line="259" w:lineRule="auto"/>
              <w:rPr>
                <w:rFonts w:asciiTheme="minorHAnsi" w:hAnsiTheme="minorHAnsi" w:cs="Courier New"/>
                <w:b/>
                <w:sz w:val="22"/>
                <w:szCs w:val="22"/>
                <w:lang w:bidi="he-IL"/>
              </w:rPr>
            </w:pPr>
            <w:r w:rsidRPr="000A6373">
              <w:rPr>
                <w:rFonts w:asciiTheme="minorHAnsi" w:hAnsiTheme="minorHAnsi" w:cs="Courier New"/>
                <w:b/>
                <w:sz w:val="22"/>
                <w:szCs w:val="22"/>
                <w:lang w:bidi="cy"/>
              </w:rPr>
              <w:t>Dyddiad Dod i Rym:</w:t>
            </w:r>
          </w:p>
        </w:tc>
        <w:tc>
          <w:tcPr>
            <w:tcW w:w="4508" w:type="dxa"/>
          </w:tcPr>
          <w:p w14:paraId="65BF0DD2" w14:textId="77777777" w:rsidR="000A6373" w:rsidRDefault="000A6373" w:rsidP="000A6373">
            <w:pPr>
              <w:spacing w:after="160" w:line="259" w:lineRule="auto"/>
              <w:rPr>
                <w:rFonts w:asciiTheme="minorHAnsi" w:hAnsiTheme="minorHAnsi" w:cs="Courier New"/>
                <w:b/>
                <w:sz w:val="22"/>
                <w:szCs w:val="22"/>
                <w:lang w:bidi="he-IL"/>
              </w:rPr>
            </w:pPr>
          </w:p>
        </w:tc>
      </w:tr>
      <w:tr w:rsidR="000A6373" w14:paraId="0E4ACE3C" w14:textId="77777777" w:rsidTr="000A6373">
        <w:tc>
          <w:tcPr>
            <w:tcW w:w="4508" w:type="dxa"/>
          </w:tcPr>
          <w:p w14:paraId="02F87F06" w14:textId="7E359B84" w:rsidR="000A6373" w:rsidRPr="000A6373" w:rsidRDefault="000A6373" w:rsidP="000A6373">
            <w:pPr>
              <w:spacing w:after="160" w:line="259" w:lineRule="auto"/>
              <w:rPr>
                <w:rFonts w:asciiTheme="minorHAnsi" w:hAnsiTheme="minorHAnsi" w:cs="Courier New"/>
                <w:b/>
                <w:sz w:val="22"/>
                <w:szCs w:val="22"/>
                <w:lang w:bidi="he-IL"/>
              </w:rPr>
            </w:pPr>
            <w:r w:rsidRPr="000A6373">
              <w:rPr>
                <w:rFonts w:asciiTheme="minorHAnsi" w:hAnsiTheme="minorHAnsi" w:cs="Courier New"/>
                <w:b/>
                <w:sz w:val="22"/>
                <w:szCs w:val="22"/>
                <w:lang w:bidi="cy"/>
              </w:rPr>
              <w:t xml:space="preserve">Dyddiad yr Adolygiad Nesaf: </w:t>
            </w:r>
          </w:p>
          <w:p w14:paraId="34A937DB" w14:textId="77777777" w:rsidR="000A6373" w:rsidRDefault="000A6373" w:rsidP="000A6373">
            <w:pPr>
              <w:spacing w:after="160" w:line="259" w:lineRule="auto"/>
              <w:rPr>
                <w:rFonts w:asciiTheme="minorHAnsi" w:hAnsiTheme="minorHAnsi" w:cs="Courier New"/>
                <w:b/>
                <w:sz w:val="22"/>
                <w:szCs w:val="22"/>
                <w:lang w:bidi="he-IL"/>
              </w:rPr>
            </w:pPr>
          </w:p>
        </w:tc>
        <w:tc>
          <w:tcPr>
            <w:tcW w:w="4508" w:type="dxa"/>
          </w:tcPr>
          <w:p w14:paraId="5AD090AB" w14:textId="77777777" w:rsidR="000A6373" w:rsidRDefault="000A6373" w:rsidP="000A6373">
            <w:pPr>
              <w:spacing w:after="160" w:line="259" w:lineRule="auto"/>
              <w:rPr>
                <w:rFonts w:asciiTheme="minorHAnsi" w:hAnsiTheme="minorHAnsi" w:cs="Courier New"/>
                <w:b/>
                <w:sz w:val="22"/>
                <w:szCs w:val="22"/>
                <w:lang w:bidi="he-IL"/>
              </w:rPr>
            </w:pPr>
          </w:p>
        </w:tc>
      </w:tr>
      <w:tr w:rsidR="000A6373" w14:paraId="452B38F6" w14:textId="77777777" w:rsidTr="000A6373">
        <w:tc>
          <w:tcPr>
            <w:tcW w:w="4508" w:type="dxa"/>
          </w:tcPr>
          <w:p w14:paraId="66D68CAA" w14:textId="08E7468D" w:rsidR="000A6373" w:rsidRDefault="000A6373" w:rsidP="000A6373">
            <w:pPr>
              <w:spacing w:after="160" w:line="259" w:lineRule="auto"/>
              <w:rPr>
                <w:rFonts w:asciiTheme="minorHAnsi" w:hAnsiTheme="minorHAnsi" w:cs="Courier New"/>
                <w:b/>
                <w:sz w:val="22"/>
                <w:szCs w:val="22"/>
                <w:lang w:bidi="he-IL"/>
              </w:rPr>
            </w:pPr>
            <w:r w:rsidRPr="000A6373">
              <w:rPr>
                <w:rFonts w:asciiTheme="minorHAnsi" w:hAnsiTheme="minorHAnsi" w:cs="Courier New"/>
                <w:b/>
                <w:sz w:val="22"/>
                <w:szCs w:val="22"/>
                <w:lang w:bidi="cy"/>
              </w:rPr>
              <w:t>Y Fersiwn a Ddisodlwyd:</w:t>
            </w:r>
          </w:p>
        </w:tc>
        <w:tc>
          <w:tcPr>
            <w:tcW w:w="4508" w:type="dxa"/>
          </w:tcPr>
          <w:p w14:paraId="4FDF50CA" w14:textId="31BFBBF2" w:rsidR="000A6373" w:rsidRDefault="00196118" w:rsidP="000A6373">
            <w:pPr>
              <w:spacing w:after="160" w:line="259" w:lineRule="auto"/>
              <w:rPr>
                <w:rFonts w:asciiTheme="minorHAnsi" w:hAnsiTheme="minorHAnsi" w:cs="Courier New"/>
                <w:b/>
                <w:sz w:val="22"/>
                <w:szCs w:val="22"/>
                <w:lang w:bidi="he-IL"/>
              </w:rPr>
            </w:pPr>
            <w:r>
              <w:rPr>
                <w:rFonts w:asciiTheme="minorHAnsi" w:hAnsiTheme="minorHAnsi" w:cs="Courier New"/>
                <w:b/>
                <w:sz w:val="22"/>
                <w:szCs w:val="22"/>
                <w:lang w:bidi="cy"/>
              </w:rPr>
              <w:t xml:space="preserve">Is-bolisi o'r Polisi Datgelu Buddiannau yw hwn </w:t>
            </w:r>
          </w:p>
        </w:tc>
      </w:tr>
    </w:tbl>
    <w:p w14:paraId="518ED2C3" w14:textId="77777777" w:rsidR="000A6373" w:rsidRDefault="000A6373" w:rsidP="000A6373">
      <w:pPr>
        <w:spacing w:after="160" w:line="259" w:lineRule="auto"/>
        <w:rPr>
          <w:rFonts w:asciiTheme="minorHAnsi" w:hAnsiTheme="minorHAnsi" w:cs="Courier New"/>
          <w:b/>
          <w:sz w:val="22"/>
          <w:szCs w:val="22"/>
          <w:lang w:bidi="he-IL"/>
        </w:rPr>
      </w:pPr>
    </w:p>
    <w:p w14:paraId="418C5BA7" w14:textId="6F385CFA" w:rsidR="000A6373" w:rsidRDefault="000A6373" w:rsidP="000A6373">
      <w:pPr>
        <w:spacing w:after="160" w:line="259" w:lineRule="auto"/>
        <w:rPr>
          <w:rFonts w:asciiTheme="minorHAnsi" w:hAnsiTheme="minorHAnsi" w:cs="Courier New"/>
          <w:b/>
          <w:sz w:val="22"/>
          <w:szCs w:val="22"/>
          <w:lang w:bidi="he-IL"/>
        </w:rPr>
      </w:pPr>
      <w:r w:rsidRPr="000A6373">
        <w:rPr>
          <w:rFonts w:asciiTheme="minorHAnsi" w:hAnsiTheme="minorHAnsi" w:cs="Courier New"/>
          <w:b/>
          <w:sz w:val="22"/>
          <w:szCs w:val="22"/>
          <w:lang w:bidi="cy"/>
        </w:rPr>
        <w:t>Hanes y Ddogfen</w:t>
      </w:r>
    </w:p>
    <w:tbl>
      <w:tblPr>
        <w:tblStyle w:val="TableGrid"/>
        <w:tblW w:w="0" w:type="auto"/>
        <w:tblLook w:val="04A0" w:firstRow="1" w:lastRow="0" w:firstColumn="1" w:lastColumn="0" w:noHBand="0" w:noVBand="1"/>
      </w:tblPr>
      <w:tblGrid>
        <w:gridCol w:w="931"/>
        <w:gridCol w:w="1346"/>
        <w:gridCol w:w="2692"/>
        <w:gridCol w:w="4047"/>
      </w:tblGrid>
      <w:tr w:rsidR="000A6373" w14:paraId="20540F3C" w14:textId="77777777" w:rsidTr="00BB0439">
        <w:tc>
          <w:tcPr>
            <w:tcW w:w="915" w:type="dxa"/>
          </w:tcPr>
          <w:p w14:paraId="10CAF55B" w14:textId="386290E9" w:rsidR="000A6373" w:rsidRDefault="000A6373" w:rsidP="000A6373">
            <w:pPr>
              <w:spacing w:after="160" w:line="259" w:lineRule="auto"/>
              <w:rPr>
                <w:rFonts w:asciiTheme="minorHAnsi" w:hAnsiTheme="minorHAnsi" w:cs="Courier New"/>
                <w:b/>
                <w:sz w:val="22"/>
                <w:szCs w:val="22"/>
                <w:lang w:bidi="he-IL"/>
              </w:rPr>
            </w:pPr>
            <w:r w:rsidRPr="000A6373">
              <w:rPr>
                <w:rFonts w:asciiTheme="minorHAnsi" w:hAnsiTheme="minorHAnsi" w:cs="Courier New"/>
                <w:b/>
                <w:sz w:val="22"/>
                <w:szCs w:val="22"/>
                <w:lang w:bidi="cy"/>
              </w:rPr>
              <w:t xml:space="preserve">Fersiwn </w:t>
            </w:r>
          </w:p>
        </w:tc>
        <w:tc>
          <w:tcPr>
            <w:tcW w:w="1348" w:type="dxa"/>
          </w:tcPr>
          <w:p w14:paraId="55337162" w14:textId="017EA74E" w:rsidR="000A6373" w:rsidRDefault="000A6373" w:rsidP="000A6373">
            <w:pPr>
              <w:spacing w:after="160" w:line="259" w:lineRule="auto"/>
              <w:rPr>
                <w:rFonts w:asciiTheme="minorHAnsi" w:hAnsiTheme="minorHAnsi" w:cs="Courier New"/>
                <w:b/>
                <w:sz w:val="22"/>
                <w:szCs w:val="22"/>
                <w:lang w:bidi="he-IL"/>
              </w:rPr>
            </w:pPr>
            <w:r w:rsidRPr="000A6373">
              <w:rPr>
                <w:rFonts w:asciiTheme="minorHAnsi" w:hAnsiTheme="minorHAnsi" w:cs="Courier New"/>
                <w:b/>
                <w:sz w:val="22"/>
                <w:szCs w:val="22"/>
                <w:lang w:bidi="cy"/>
              </w:rPr>
              <w:t>Dyddiad</w:t>
            </w:r>
          </w:p>
        </w:tc>
        <w:tc>
          <w:tcPr>
            <w:tcW w:w="2694" w:type="dxa"/>
          </w:tcPr>
          <w:p w14:paraId="3191A7D3" w14:textId="298FD93A" w:rsidR="000A6373" w:rsidRDefault="000A6373" w:rsidP="000A6373">
            <w:pPr>
              <w:spacing w:after="160" w:line="259" w:lineRule="auto"/>
              <w:rPr>
                <w:rFonts w:asciiTheme="minorHAnsi" w:hAnsiTheme="minorHAnsi" w:cs="Courier New"/>
                <w:b/>
                <w:sz w:val="22"/>
                <w:szCs w:val="22"/>
                <w:lang w:bidi="he-IL"/>
              </w:rPr>
            </w:pPr>
            <w:r w:rsidRPr="000A6373">
              <w:rPr>
                <w:rFonts w:asciiTheme="minorHAnsi" w:hAnsiTheme="minorHAnsi" w:cs="Courier New"/>
                <w:b/>
                <w:sz w:val="22"/>
                <w:szCs w:val="22"/>
                <w:lang w:bidi="cy"/>
              </w:rPr>
              <w:t>Awdur/Ymgynghorwyr</w:t>
            </w:r>
          </w:p>
        </w:tc>
        <w:tc>
          <w:tcPr>
            <w:tcW w:w="4059" w:type="dxa"/>
          </w:tcPr>
          <w:p w14:paraId="3BE020B8" w14:textId="385E0161" w:rsidR="000A6373" w:rsidRDefault="00BB0439" w:rsidP="000A6373">
            <w:pPr>
              <w:spacing w:after="160" w:line="259" w:lineRule="auto"/>
              <w:rPr>
                <w:rFonts w:asciiTheme="minorHAnsi" w:hAnsiTheme="minorHAnsi" w:cs="Courier New"/>
                <w:b/>
                <w:sz w:val="22"/>
                <w:szCs w:val="22"/>
                <w:lang w:bidi="he-IL"/>
              </w:rPr>
            </w:pPr>
            <w:r w:rsidRPr="000A6373">
              <w:rPr>
                <w:rFonts w:asciiTheme="minorHAnsi" w:hAnsiTheme="minorHAnsi" w:cs="Courier New"/>
                <w:b/>
                <w:sz w:val="22"/>
                <w:szCs w:val="22"/>
                <w:lang w:bidi="cy"/>
              </w:rPr>
              <w:t>Nodiadau ar Ddiwygiadau</w:t>
            </w:r>
          </w:p>
        </w:tc>
      </w:tr>
      <w:tr w:rsidR="000A6373" w14:paraId="300319D6" w14:textId="77777777" w:rsidTr="00BB0439">
        <w:tc>
          <w:tcPr>
            <w:tcW w:w="915" w:type="dxa"/>
          </w:tcPr>
          <w:p w14:paraId="53D922D9" w14:textId="2CE557F2" w:rsidR="000A6373" w:rsidRPr="00BB0439" w:rsidRDefault="00BB0439" w:rsidP="000A6373">
            <w:pPr>
              <w:spacing w:after="160" w:line="259" w:lineRule="auto"/>
              <w:rPr>
                <w:rFonts w:asciiTheme="minorHAnsi" w:hAnsiTheme="minorHAnsi" w:cs="Courier New"/>
                <w:bCs/>
                <w:sz w:val="22"/>
                <w:szCs w:val="22"/>
                <w:lang w:bidi="he-IL"/>
              </w:rPr>
            </w:pPr>
            <w:r w:rsidRPr="00BB0439">
              <w:rPr>
                <w:rFonts w:asciiTheme="minorHAnsi" w:hAnsiTheme="minorHAnsi" w:cs="Courier New"/>
                <w:sz w:val="22"/>
                <w:szCs w:val="22"/>
                <w:lang w:bidi="cy"/>
              </w:rPr>
              <w:t>1</w:t>
            </w:r>
          </w:p>
        </w:tc>
        <w:tc>
          <w:tcPr>
            <w:tcW w:w="1348" w:type="dxa"/>
          </w:tcPr>
          <w:p w14:paraId="4C1AC58F" w14:textId="20377FF8" w:rsidR="000A6373" w:rsidRPr="00BB0439" w:rsidRDefault="007E1074" w:rsidP="000A6373">
            <w:pPr>
              <w:spacing w:after="160" w:line="259" w:lineRule="auto"/>
              <w:rPr>
                <w:rFonts w:asciiTheme="minorHAnsi" w:hAnsiTheme="minorHAnsi" w:cs="Courier New"/>
                <w:bCs/>
                <w:sz w:val="22"/>
                <w:szCs w:val="22"/>
                <w:lang w:bidi="he-IL"/>
              </w:rPr>
            </w:pPr>
            <w:r>
              <w:rPr>
                <w:rFonts w:asciiTheme="minorHAnsi" w:hAnsiTheme="minorHAnsi" w:cs="Courier New"/>
                <w:sz w:val="22"/>
                <w:szCs w:val="22"/>
                <w:lang w:bidi="cy"/>
              </w:rPr>
              <w:t>Mawrth 2021</w:t>
            </w:r>
          </w:p>
        </w:tc>
        <w:tc>
          <w:tcPr>
            <w:tcW w:w="2694" w:type="dxa"/>
          </w:tcPr>
          <w:p w14:paraId="3A19D9EA" w14:textId="0C351E8B" w:rsidR="000A6373" w:rsidRPr="00BB0439" w:rsidRDefault="000A6373" w:rsidP="000A6373">
            <w:pPr>
              <w:spacing w:after="160" w:line="259" w:lineRule="auto"/>
              <w:rPr>
                <w:rFonts w:asciiTheme="minorHAnsi" w:hAnsiTheme="minorHAnsi" w:cs="Courier New"/>
                <w:bCs/>
                <w:sz w:val="22"/>
                <w:szCs w:val="22"/>
                <w:lang w:bidi="he-IL"/>
              </w:rPr>
            </w:pPr>
          </w:p>
        </w:tc>
        <w:tc>
          <w:tcPr>
            <w:tcW w:w="4059" w:type="dxa"/>
          </w:tcPr>
          <w:p w14:paraId="0CC9AD1E" w14:textId="27E02BB0" w:rsidR="000A6373" w:rsidRPr="00BB0439" w:rsidRDefault="00BB0439" w:rsidP="000A6373">
            <w:pPr>
              <w:spacing w:after="160" w:line="259" w:lineRule="auto"/>
              <w:rPr>
                <w:rFonts w:asciiTheme="minorHAnsi" w:hAnsiTheme="minorHAnsi" w:cs="Courier New"/>
                <w:bCs/>
                <w:sz w:val="22"/>
                <w:szCs w:val="22"/>
                <w:lang w:bidi="he-IL"/>
              </w:rPr>
            </w:pPr>
            <w:r w:rsidRPr="00BB0439">
              <w:rPr>
                <w:rFonts w:asciiTheme="minorHAnsi" w:hAnsiTheme="minorHAnsi" w:cs="Courier New"/>
                <w:sz w:val="22"/>
                <w:szCs w:val="22"/>
                <w:lang w:bidi="cy"/>
              </w:rPr>
              <w:t>Polisi newydd</w:t>
            </w:r>
          </w:p>
        </w:tc>
      </w:tr>
      <w:tr w:rsidR="000A6373" w14:paraId="4052E61F" w14:textId="77777777" w:rsidTr="00BB0439">
        <w:tc>
          <w:tcPr>
            <w:tcW w:w="915" w:type="dxa"/>
          </w:tcPr>
          <w:p w14:paraId="0202FA97" w14:textId="756B9768" w:rsidR="000A6373" w:rsidRPr="00BB0439" w:rsidRDefault="00BB0439" w:rsidP="000A6373">
            <w:pPr>
              <w:spacing w:after="160" w:line="259" w:lineRule="auto"/>
              <w:rPr>
                <w:rFonts w:asciiTheme="minorHAnsi" w:hAnsiTheme="minorHAnsi" w:cs="Courier New"/>
                <w:bCs/>
                <w:sz w:val="22"/>
                <w:szCs w:val="22"/>
                <w:lang w:bidi="he-IL"/>
              </w:rPr>
            </w:pPr>
            <w:r w:rsidRPr="00BB0439">
              <w:rPr>
                <w:rFonts w:asciiTheme="minorHAnsi" w:hAnsiTheme="minorHAnsi" w:cs="Courier New"/>
                <w:sz w:val="22"/>
                <w:szCs w:val="22"/>
                <w:lang w:bidi="cy"/>
              </w:rPr>
              <w:t>2</w:t>
            </w:r>
          </w:p>
        </w:tc>
        <w:tc>
          <w:tcPr>
            <w:tcW w:w="1348" w:type="dxa"/>
          </w:tcPr>
          <w:p w14:paraId="47543026" w14:textId="77777777" w:rsidR="000A6373" w:rsidRDefault="000A6373" w:rsidP="000A6373">
            <w:pPr>
              <w:spacing w:after="160" w:line="259" w:lineRule="auto"/>
              <w:rPr>
                <w:rFonts w:asciiTheme="minorHAnsi" w:hAnsiTheme="minorHAnsi" w:cs="Courier New"/>
                <w:b/>
                <w:sz w:val="22"/>
                <w:szCs w:val="22"/>
                <w:lang w:bidi="he-IL"/>
              </w:rPr>
            </w:pPr>
          </w:p>
        </w:tc>
        <w:tc>
          <w:tcPr>
            <w:tcW w:w="2694" w:type="dxa"/>
          </w:tcPr>
          <w:p w14:paraId="03C7EB9E" w14:textId="77777777" w:rsidR="000A6373" w:rsidRDefault="000A6373" w:rsidP="000A6373">
            <w:pPr>
              <w:spacing w:after="160" w:line="259" w:lineRule="auto"/>
              <w:rPr>
                <w:rFonts w:asciiTheme="minorHAnsi" w:hAnsiTheme="minorHAnsi" w:cs="Courier New"/>
                <w:b/>
                <w:sz w:val="22"/>
                <w:szCs w:val="22"/>
                <w:lang w:bidi="he-IL"/>
              </w:rPr>
            </w:pPr>
          </w:p>
        </w:tc>
        <w:tc>
          <w:tcPr>
            <w:tcW w:w="4059" w:type="dxa"/>
          </w:tcPr>
          <w:p w14:paraId="27A6AD4B" w14:textId="77777777" w:rsidR="000A6373" w:rsidRDefault="000A6373" w:rsidP="000A6373">
            <w:pPr>
              <w:spacing w:after="160" w:line="259" w:lineRule="auto"/>
              <w:rPr>
                <w:rFonts w:asciiTheme="minorHAnsi" w:hAnsiTheme="minorHAnsi" w:cs="Courier New"/>
                <w:b/>
                <w:sz w:val="22"/>
                <w:szCs w:val="22"/>
                <w:lang w:bidi="he-IL"/>
              </w:rPr>
            </w:pPr>
          </w:p>
        </w:tc>
      </w:tr>
    </w:tbl>
    <w:p w14:paraId="6053D05D" w14:textId="234FFB8E" w:rsidR="000A6373" w:rsidRPr="000A6373" w:rsidRDefault="000A6373" w:rsidP="000A6373">
      <w:pPr>
        <w:spacing w:after="160" w:line="259" w:lineRule="auto"/>
        <w:rPr>
          <w:rFonts w:asciiTheme="minorHAnsi" w:hAnsiTheme="minorHAnsi" w:cs="Courier New"/>
          <w:b/>
          <w:sz w:val="22"/>
          <w:szCs w:val="22"/>
          <w:lang w:bidi="he-IL"/>
        </w:rPr>
      </w:pPr>
    </w:p>
    <w:p w14:paraId="4D414105" w14:textId="43D978ED" w:rsidR="00BB0439" w:rsidRPr="00BB0439" w:rsidRDefault="00BB0439">
      <w:pPr>
        <w:spacing w:after="160" w:line="259" w:lineRule="auto"/>
        <w:rPr>
          <w:rFonts w:ascii="Arial" w:hAnsi="Arial" w:cs="Arial"/>
          <w:bCs/>
          <w:sz w:val="28"/>
          <w:szCs w:val="28"/>
          <w:lang w:bidi="he-IL"/>
        </w:rPr>
      </w:pPr>
      <w:r w:rsidRPr="00BB0439">
        <w:rPr>
          <w:rFonts w:ascii="Arial" w:eastAsia="Arial" w:hAnsi="Arial" w:cs="Arial"/>
          <w:sz w:val="28"/>
          <w:szCs w:val="28"/>
          <w:lang w:bidi="cy"/>
        </w:rPr>
        <w:t>Os oes angen y wybodaeth hon arnoch mewn print bras neu fformat arall, cysylltwch â Desg Gwasanaeth TG y Brifysgol ar + 44 (0) 29 208 74487 neu ebostiwch: insrvConnect@caerdydd.ac.uk</w:t>
      </w:r>
    </w:p>
    <w:p w14:paraId="579621F6" w14:textId="1181F56D" w:rsidR="000811CA" w:rsidRPr="0074432E" w:rsidRDefault="00BB0439" w:rsidP="0074432E">
      <w:pPr>
        <w:spacing w:after="160" w:line="259" w:lineRule="auto"/>
        <w:rPr>
          <w:rFonts w:asciiTheme="minorHAnsi" w:hAnsiTheme="minorHAnsi" w:cs="Courier New"/>
          <w:b/>
          <w:sz w:val="22"/>
          <w:szCs w:val="22"/>
          <w:lang w:bidi="he-IL"/>
        </w:rPr>
      </w:pPr>
      <w:r>
        <w:rPr>
          <w:rFonts w:asciiTheme="minorHAnsi" w:hAnsiTheme="minorHAnsi" w:cs="Courier New"/>
          <w:b/>
          <w:sz w:val="22"/>
          <w:szCs w:val="22"/>
          <w:lang w:bidi="cy"/>
        </w:rPr>
        <w:br w:type="page"/>
      </w:r>
      <w:r w:rsidR="007E1074" w:rsidRPr="007E1074">
        <w:rPr>
          <w:rFonts w:asciiTheme="minorHAnsi" w:hAnsiTheme="minorHAnsi" w:cs="Courier New"/>
          <w:b/>
          <w:sz w:val="22"/>
          <w:szCs w:val="22"/>
          <w:lang w:bidi="cy"/>
        </w:rPr>
        <w:lastRenderedPageBreak/>
        <w:t>Gonestrwydd Ymchwil - Cydymffurfio â Gofynion Gwrthdaro Buddiannau Allanol</w:t>
      </w:r>
    </w:p>
    <w:p w14:paraId="35A1C896" w14:textId="77777777" w:rsidR="00D76992" w:rsidRPr="00594040" w:rsidRDefault="00D76992" w:rsidP="000811CA">
      <w:pPr>
        <w:autoSpaceDE w:val="0"/>
        <w:autoSpaceDN w:val="0"/>
        <w:adjustRightInd w:val="0"/>
        <w:jc w:val="both"/>
        <w:rPr>
          <w:rFonts w:asciiTheme="minorHAnsi" w:hAnsiTheme="minorHAnsi" w:cs="Courier New"/>
          <w:sz w:val="22"/>
          <w:szCs w:val="22"/>
          <w:lang w:bidi="he-IL"/>
        </w:rPr>
      </w:pPr>
    </w:p>
    <w:p w14:paraId="53D47C00" w14:textId="1070F880" w:rsidR="000A45B7" w:rsidRPr="000A45B7" w:rsidRDefault="00CA33CC" w:rsidP="000A45B7">
      <w:pPr>
        <w:jc w:val="both"/>
        <w:rPr>
          <w:rFonts w:asciiTheme="minorHAnsi" w:hAnsiTheme="minorHAnsi"/>
          <w:b/>
          <w:sz w:val="22"/>
          <w:szCs w:val="22"/>
        </w:rPr>
      </w:pPr>
      <w:r>
        <w:rPr>
          <w:rFonts w:asciiTheme="minorHAnsi" w:hAnsiTheme="minorHAnsi"/>
          <w:b/>
          <w:sz w:val="22"/>
          <w:szCs w:val="22"/>
          <w:lang w:bidi="cy"/>
        </w:rPr>
        <w:t>Cyflwyniad</w:t>
      </w:r>
    </w:p>
    <w:p w14:paraId="2EDEE822" w14:textId="5D2BBDEA" w:rsidR="000A45B7" w:rsidRDefault="000A45B7" w:rsidP="000A45B7">
      <w:pPr>
        <w:jc w:val="both"/>
        <w:rPr>
          <w:rFonts w:asciiTheme="minorHAnsi" w:hAnsiTheme="minorHAnsi"/>
          <w:sz w:val="22"/>
          <w:szCs w:val="22"/>
        </w:rPr>
      </w:pPr>
      <w:r w:rsidRPr="00594040">
        <w:rPr>
          <w:rFonts w:asciiTheme="minorHAnsi" w:hAnsiTheme="minorHAnsi"/>
          <w:sz w:val="22"/>
          <w:szCs w:val="22"/>
          <w:lang w:bidi="cy"/>
        </w:rPr>
        <w:t xml:space="preserve">Fel sefydliad sy'n cael cyllid cyhoeddus a chyllid arall mae gan y Brifysgol ddyletswydd i gyflawni'r safonau uchaf o lywodraethu corfforaethol.  Felly, mae Prifysgol Caerdydd wedi ymrwymo i egwyddorion derbyniol bywyd cyhoeddus sy'n cwmpasu anhunanoldeb, gonestrwydd, gwrthrychedd, atebolrwydd, agwedd agored, gonestrwydd ac arweinyddiaeth.  </w:t>
      </w:r>
    </w:p>
    <w:p w14:paraId="56C25302" w14:textId="77777777" w:rsidR="000A45B7" w:rsidRDefault="000A45B7" w:rsidP="000A45B7">
      <w:pPr>
        <w:jc w:val="both"/>
        <w:rPr>
          <w:rFonts w:asciiTheme="minorHAnsi" w:hAnsiTheme="minorHAnsi"/>
          <w:sz w:val="22"/>
          <w:szCs w:val="22"/>
        </w:rPr>
      </w:pPr>
    </w:p>
    <w:p w14:paraId="2A1DB9A8" w14:textId="41672FC1" w:rsidR="000A45B7" w:rsidRPr="008D323E" w:rsidRDefault="000A45B7" w:rsidP="000A45B7">
      <w:pPr>
        <w:jc w:val="both"/>
        <w:rPr>
          <w:rFonts w:asciiTheme="minorHAnsi" w:hAnsiTheme="minorHAnsi"/>
          <w:sz w:val="22"/>
          <w:szCs w:val="22"/>
        </w:rPr>
      </w:pPr>
      <w:r w:rsidRPr="00594040">
        <w:rPr>
          <w:rFonts w:asciiTheme="minorHAnsi" w:hAnsiTheme="minorHAnsi"/>
          <w:sz w:val="22"/>
          <w:szCs w:val="22"/>
          <w:lang w:bidi="cy"/>
        </w:rPr>
        <w:t xml:space="preserve">Mae'r Brifysgol yn annog staff i gymryd rhan mewn gweithgareddau allanol priodol ac yn unol â'i nodau a'i dibenion academaidd, mae'r Brifysgol yn annog cyswllt rhwng ei staff â gwahanol sefydliadau allanol. Mae hyn yn cynnwys ymwneud ag elusennau ac adrannau'r llywodraeth, byrddau busnes a chymunedol, rhoi cyngor arbenigol, sylwebaeth yn y cyfryngau, ymarfer proffesiynol, allgymorth i ysgolion, prosiectau rhyngwladol a chydweithrediadau â'r byd masnachol, gan gynnwys ymgynghoriaeth, ymchwil a datblygiad cydweithredol , a masnacheiddio eiddo deallusol (IP) drwy gwmnïau trwyddedu a 'deillio'. Mae'r Brifysgol hefyd yn caniatáu i staff gymryd rhan mewn gweithgareddau cyffredinol gyda thâl a di-dâl (yn amodol ar gymeradwyaeth ymlaen llaw). </w:t>
      </w:r>
    </w:p>
    <w:p w14:paraId="1BACC6C9" w14:textId="77777777" w:rsidR="000A45B7" w:rsidRPr="00760E4C" w:rsidRDefault="000A45B7" w:rsidP="000A45B7">
      <w:pPr>
        <w:jc w:val="both"/>
        <w:rPr>
          <w:rFonts w:asciiTheme="minorHAnsi" w:hAnsiTheme="minorHAnsi"/>
          <w:bCs/>
          <w:sz w:val="22"/>
          <w:szCs w:val="22"/>
        </w:rPr>
      </w:pPr>
    </w:p>
    <w:p w14:paraId="7FE6E22F" w14:textId="0728C055" w:rsidR="00B346E8" w:rsidRPr="00760E4C" w:rsidRDefault="000A45B7" w:rsidP="00B346E8">
      <w:pPr>
        <w:jc w:val="both"/>
        <w:rPr>
          <w:rFonts w:asciiTheme="minorHAnsi" w:hAnsiTheme="minorHAnsi"/>
          <w:sz w:val="22"/>
          <w:szCs w:val="22"/>
        </w:rPr>
      </w:pPr>
      <w:r w:rsidRPr="00760E4C">
        <w:rPr>
          <w:rFonts w:asciiTheme="minorHAnsi" w:hAnsiTheme="minorHAnsi"/>
          <w:sz w:val="22"/>
          <w:szCs w:val="22"/>
          <w:lang w:bidi="cy"/>
        </w:rPr>
        <w:t xml:space="preserve">Wrth annog rhyngweithio o'r fath, mae'r Brifysgol yn ymwybodol o'i rhwymedigaeth i ddarparu mesurau diogelu, lle bynnag y bo modd, ac er mwyn rheoli'r risgiau cysylltiedig i lefel dderbyniol, mae'n ofynnol i'r holl staff, myfyrwyr ac eraill sy'n gweithio yn y Brifysgol (gan gynnwys deiliaid grantiau ac ymchwilwyr anrhydeddus) gydnabod a datgelu gweithgareddau a allai beri risg i achosion gwirioneddol neu dybiedig o wrthdaro rhwng buddiannau. </w:t>
      </w:r>
    </w:p>
    <w:p w14:paraId="6A8B905B" w14:textId="0D0B922A" w:rsidR="00775D5E" w:rsidRDefault="00775D5E" w:rsidP="007E1074">
      <w:pPr>
        <w:autoSpaceDE w:val="0"/>
        <w:autoSpaceDN w:val="0"/>
        <w:adjustRightInd w:val="0"/>
        <w:jc w:val="both"/>
        <w:rPr>
          <w:rFonts w:asciiTheme="minorHAnsi" w:hAnsiTheme="minorHAnsi" w:cs="Courier New"/>
          <w:sz w:val="22"/>
          <w:szCs w:val="22"/>
          <w:lang w:bidi="he-IL"/>
        </w:rPr>
      </w:pPr>
    </w:p>
    <w:p w14:paraId="0FF31AB8" w14:textId="66C6FA18" w:rsidR="00E50424" w:rsidRDefault="00E50424" w:rsidP="007E1074">
      <w:pPr>
        <w:autoSpaceDE w:val="0"/>
        <w:autoSpaceDN w:val="0"/>
        <w:adjustRightInd w:val="0"/>
        <w:jc w:val="both"/>
        <w:rPr>
          <w:rFonts w:asciiTheme="minorHAnsi" w:hAnsiTheme="minorHAnsi" w:cs="Courier New"/>
          <w:sz w:val="22"/>
          <w:szCs w:val="22"/>
          <w:lang w:bidi="he-IL"/>
        </w:rPr>
      </w:pPr>
      <w:r>
        <w:rPr>
          <w:rFonts w:asciiTheme="minorHAnsi" w:hAnsiTheme="minorHAnsi" w:cs="Courier New"/>
          <w:sz w:val="22"/>
          <w:szCs w:val="22"/>
          <w:lang w:bidi="cy"/>
        </w:rPr>
        <w:t>Mae'r polisi hwn yn benodol i gydymffurfio â Gofynion Gwrthdaro Buddiannau Allanol a wnaed gan gyllidwyr a rhaid ei ddarllen ochr yn ochr â Pholisi Datgan Buddiant trosfwaol y Brifysgol.</w:t>
      </w:r>
    </w:p>
    <w:p w14:paraId="5B607A3E" w14:textId="77777777" w:rsidR="00E50424" w:rsidRDefault="00E50424" w:rsidP="007E1074">
      <w:pPr>
        <w:autoSpaceDE w:val="0"/>
        <w:autoSpaceDN w:val="0"/>
        <w:adjustRightInd w:val="0"/>
        <w:jc w:val="both"/>
        <w:rPr>
          <w:rFonts w:asciiTheme="minorHAnsi" w:hAnsiTheme="minorHAnsi" w:cs="Courier New"/>
          <w:sz w:val="22"/>
          <w:szCs w:val="22"/>
          <w:lang w:bidi="he-IL"/>
        </w:rPr>
      </w:pPr>
    </w:p>
    <w:p w14:paraId="48325669" w14:textId="77777777" w:rsidR="000C538F" w:rsidRDefault="00CA33CC" w:rsidP="00B346E8">
      <w:pPr>
        <w:jc w:val="both"/>
        <w:rPr>
          <w:rFonts w:asciiTheme="minorHAnsi" w:hAnsiTheme="minorHAnsi"/>
          <w:b/>
          <w:bCs/>
          <w:sz w:val="22"/>
          <w:szCs w:val="22"/>
        </w:rPr>
      </w:pPr>
      <w:r w:rsidRPr="008D323E">
        <w:rPr>
          <w:rFonts w:asciiTheme="minorHAnsi" w:hAnsiTheme="minorHAnsi"/>
          <w:b/>
          <w:sz w:val="22"/>
          <w:szCs w:val="22"/>
          <w:lang w:bidi="cy"/>
        </w:rPr>
        <w:t xml:space="preserve">Datgan buddiant  </w:t>
      </w:r>
    </w:p>
    <w:p w14:paraId="2DA30BF1" w14:textId="77777777" w:rsidR="000811CA" w:rsidRPr="00594040" w:rsidRDefault="000811CA" w:rsidP="000A45B7">
      <w:pPr>
        <w:jc w:val="both"/>
        <w:rPr>
          <w:rFonts w:asciiTheme="minorHAnsi" w:hAnsiTheme="minorHAnsi"/>
          <w:sz w:val="22"/>
          <w:szCs w:val="22"/>
        </w:rPr>
      </w:pPr>
    </w:p>
    <w:p w14:paraId="06D1B4DA" w14:textId="283DD112" w:rsidR="00C034E8" w:rsidRDefault="00C034E8" w:rsidP="00C034E8">
      <w:pPr>
        <w:rPr>
          <w:rFonts w:asciiTheme="minorHAnsi" w:hAnsiTheme="minorHAnsi" w:cstheme="minorHAnsi"/>
          <w:sz w:val="22"/>
          <w:szCs w:val="22"/>
        </w:rPr>
      </w:pPr>
      <w:r w:rsidRPr="00CD3FB8">
        <w:rPr>
          <w:rFonts w:asciiTheme="minorHAnsi" w:hAnsiTheme="minorHAnsi" w:cstheme="minorHAnsi"/>
          <w:sz w:val="22"/>
          <w:szCs w:val="22"/>
          <w:lang w:bidi="cy"/>
        </w:rPr>
        <w:t xml:space="preserve">Mae ymchwilwyr yn cael cyllid cyhoeddus a phreifat a rhaid iddynt gynnal lefelau o dryloywder ac atebolrwydd mewn perthynas â datgan buddiannau. Efallai y bydd enghreifftiau penodol lle gall datganiad/gwrthdaro buddiannau fod yn berthnasol i ymchwilwyr gan gynnwys yr amgylchiadau canlynol (ond heb fod yn gyfyngedig iddynt): </w:t>
      </w:r>
    </w:p>
    <w:p w14:paraId="3613D04D" w14:textId="77777777" w:rsidR="00C034E8" w:rsidRDefault="00C034E8" w:rsidP="00C034E8">
      <w:pPr>
        <w:rPr>
          <w:rFonts w:asciiTheme="minorHAnsi" w:hAnsiTheme="minorHAnsi" w:cstheme="minorHAnsi"/>
          <w:sz w:val="22"/>
          <w:szCs w:val="22"/>
        </w:rPr>
      </w:pPr>
    </w:p>
    <w:p w14:paraId="312ADEA3" w14:textId="39991E2E" w:rsidR="00C034E8" w:rsidRPr="00462466" w:rsidRDefault="00C034E8" w:rsidP="00C034E8">
      <w:pPr>
        <w:rPr>
          <w:rFonts w:asciiTheme="minorHAnsi" w:hAnsiTheme="minorHAnsi" w:cstheme="minorHAnsi"/>
          <w:sz w:val="22"/>
          <w:szCs w:val="22"/>
        </w:rPr>
      </w:pPr>
      <w:r w:rsidRPr="00462466">
        <w:rPr>
          <w:rFonts w:asciiTheme="minorHAnsi" w:hAnsiTheme="minorHAnsi" w:cstheme="minorHAnsi"/>
          <w:b/>
          <w:sz w:val="22"/>
          <w:szCs w:val="22"/>
          <w:lang w:bidi="cy"/>
        </w:rPr>
        <w:t>Gwaith allanol a phenodiadau</w:t>
      </w:r>
      <w:r w:rsidRPr="00462466">
        <w:rPr>
          <w:rFonts w:asciiTheme="minorHAnsi" w:hAnsiTheme="minorHAnsi" w:cstheme="minorHAnsi"/>
          <w:sz w:val="22"/>
          <w:szCs w:val="22"/>
          <w:lang w:bidi="cy"/>
        </w:rPr>
        <w:t xml:space="preserve"> (gwaith allanol, dechrau busnes newydd, ymgynghoriaeth, aelod o'r bwrdd, gwaith cynghori, swyddi cyfarwyddwyr ac ati) – Dylid ceisio cymeradwyaeth gan Bennaeth Gweithrediadau Adnoddau Dynol a'r rheolwr llinell perthnasol ar gyfer gwaith allanol a chynnal penodiadau allanol, fel y nodir yn y rheoliadau a'r polisi cysylltiedig. </w:t>
      </w:r>
    </w:p>
    <w:p w14:paraId="54ABDCCB" w14:textId="77777777" w:rsidR="00C034E8" w:rsidRDefault="00C034E8" w:rsidP="00C034E8">
      <w:pPr>
        <w:rPr>
          <w:rFonts w:asciiTheme="minorHAnsi" w:hAnsiTheme="minorHAnsi" w:cstheme="minorHAnsi"/>
          <w:b/>
          <w:bCs/>
          <w:sz w:val="22"/>
          <w:szCs w:val="22"/>
        </w:rPr>
      </w:pPr>
    </w:p>
    <w:p w14:paraId="60423FD2" w14:textId="7902E5F7" w:rsidR="00C034E8" w:rsidRDefault="00C034E8" w:rsidP="00C034E8">
      <w:pPr>
        <w:rPr>
          <w:rFonts w:asciiTheme="minorHAnsi" w:hAnsiTheme="minorHAnsi" w:cstheme="minorHAnsi"/>
          <w:sz w:val="22"/>
          <w:szCs w:val="22"/>
        </w:rPr>
      </w:pPr>
      <w:r w:rsidRPr="00CD3FB8">
        <w:rPr>
          <w:rFonts w:asciiTheme="minorHAnsi" w:hAnsiTheme="minorHAnsi" w:cstheme="minorHAnsi"/>
          <w:b/>
          <w:sz w:val="22"/>
          <w:szCs w:val="22"/>
          <w:lang w:bidi="cy"/>
        </w:rPr>
        <w:t>Cwmnïau deillio</w:t>
      </w:r>
      <w:r w:rsidRPr="00CD3FB8">
        <w:rPr>
          <w:rFonts w:asciiTheme="minorHAnsi" w:hAnsiTheme="minorHAnsi" w:cstheme="minorHAnsi"/>
          <w:sz w:val="22"/>
          <w:szCs w:val="22"/>
          <w:lang w:bidi="cy"/>
        </w:rPr>
        <w:t xml:space="preserve"> - Dylai pob academydd sy'n cymryd rhan yn y gwaith o lunio cwmni deillio newydd gwblhau cynllun rheoli gwrthdaro buddiannau</w:t>
      </w:r>
      <w:r w:rsidR="00196118">
        <w:rPr>
          <w:rStyle w:val="FootnoteReference"/>
          <w:rFonts w:asciiTheme="minorHAnsi" w:hAnsiTheme="minorHAnsi" w:cstheme="minorHAnsi"/>
          <w:sz w:val="22"/>
          <w:szCs w:val="22"/>
          <w:lang w:bidi="cy"/>
        </w:rPr>
        <w:footnoteReference w:id="1"/>
      </w:r>
      <w:r w:rsidRPr="00CD3FB8">
        <w:rPr>
          <w:rFonts w:asciiTheme="minorHAnsi" w:hAnsiTheme="minorHAnsi" w:cstheme="minorHAnsi"/>
          <w:sz w:val="22"/>
          <w:szCs w:val="22"/>
          <w:lang w:bidi="cy"/>
        </w:rPr>
        <w:t>, sydd am gael ei adolygu gan y Gwasanaethau Ymchwil ac Arloesi a'i gymeradwyo gan y Cyfarwyddwr Ymchwil ac Arloesi cyn y gellir cyflawni'r buddsoddiad cychwynnol.</w:t>
      </w:r>
    </w:p>
    <w:p w14:paraId="68974097" w14:textId="77777777" w:rsidR="00C034E8" w:rsidRPr="00CD3FB8" w:rsidRDefault="00C034E8" w:rsidP="00C034E8">
      <w:pPr>
        <w:rPr>
          <w:rFonts w:asciiTheme="minorHAnsi" w:hAnsiTheme="minorHAnsi" w:cstheme="minorHAnsi"/>
          <w:sz w:val="22"/>
          <w:szCs w:val="22"/>
        </w:rPr>
      </w:pPr>
    </w:p>
    <w:p w14:paraId="163A001C" w14:textId="7F259E89" w:rsidR="00196118" w:rsidRPr="00196118" w:rsidRDefault="00C034E8" w:rsidP="00196118">
      <w:pPr>
        <w:rPr>
          <w:rFonts w:asciiTheme="minorHAnsi" w:hAnsiTheme="minorHAnsi" w:cstheme="minorHAnsi"/>
          <w:bCs/>
          <w:sz w:val="22"/>
          <w:szCs w:val="22"/>
        </w:rPr>
      </w:pPr>
      <w:r w:rsidRPr="00CD3FB8">
        <w:rPr>
          <w:rFonts w:asciiTheme="minorHAnsi" w:hAnsiTheme="minorHAnsi" w:cstheme="minorHAnsi"/>
          <w:b/>
          <w:sz w:val="22"/>
          <w:szCs w:val="22"/>
          <w:lang w:bidi="cy"/>
        </w:rPr>
        <w:t>Eiddo deallusol</w:t>
      </w:r>
      <w:r w:rsidRPr="00CD3FB8">
        <w:rPr>
          <w:rFonts w:asciiTheme="minorHAnsi" w:hAnsiTheme="minorHAnsi" w:cstheme="minorHAnsi"/>
          <w:sz w:val="22"/>
          <w:szCs w:val="22"/>
          <w:lang w:bidi="cy"/>
        </w:rPr>
        <w:t xml:space="preserve"> - Os oes gan ymchwilydd fuddiant ariannol yn nhrwyddedai (neu drwyddedai arfaethedig) eiddo deallusol y Brifysgol dylent ddatgelu hyn, a chymryd cam yn ôl o'r trafodaethau, a ddylai gael eu rheoli gan y Dirprwy Gyfarwyddwr a'r Pennaeth Datblygu Masnachol. </w:t>
      </w:r>
    </w:p>
    <w:p w14:paraId="477AEA0E" w14:textId="77777777" w:rsidR="00C034E8" w:rsidRDefault="00C034E8" w:rsidP="00C034E8">
      <w:pPr>
        <w:rPr>
          <w:rFonts w:asciiTheme="minorHAnsi" w:hAnsiTheme="minorHAnsi" w:cstheme="minorHAnsi"/>
          <w:sz w:val="22"/>
          <w:szCs w:val="22"/>
        </w:rPr>
      </w:pPr>
    </w:p>
    <w:p w14:paraId="5171FC44" w14:textId="77777777" w:rsidR="00C034E8" w:rsidRPr="004A0CC1" w:rsidRDefault="00C034E8" w:rsidP="00C034E8">
      <w:pPr>
        <w:rPr>
          <w:rFonts w:asciiTheme="minorHAnsi" w:hAnsiTheme="minorHAnsi" w:cstheme="minorHAnsi"/>
          <w:sz w:val="22"/>
          <w:szCs w:val="22"/>
        </w:rPr>
      </w:pPr>
      <w:r w:rsidRPr="00CD3FB8">
        <w:rPr>
          <w:rFonts w:asciiTheme="minorHAnsi" w:hAnsiTheme="minorHAnsi" w:cstheme="minorHAnsi"/>
          <w:b/>
          <w:sz w:val="22"/>
          <w:szCs w:val="22"/>
          <w:lang w:bidi="cy"/>
        </w:rPr>
        <w:t>Cyhoeddi</w:t>
      </w:r>
      <w:r w:rsidRPr="00CD3FB8">
        <w:rPr>
          <w:rFonts w:asciiTheme="minorHAnsi" w:hAnsiTheme="minorHAnsi" w:cstheme="minorHAnsi"/>
          <w:sz w:val="22"/>
          <w:szCs w:val="22"/>
          <w:lang w:bidi="cy"/>
        </w:rPr>
        <w:t xml:space="preserve"> - Dylai awduron sy'n cyflwyno llawysgrif ddatgelu unrhyw 'fuddiant ariannol sylweddol' neu berthynas arall â gweithgynhyrchwyr unrhyw gynnyrch masnachol neu ddarparwyr gwasanaethau masnachol a drafodir yn y llawysgrif ac unrhyw gefnogwyr ariannol yr ymchwil. Nid bwriad datgeliadau o'r fath yw atal awdur sydd â buddiant ariannol neu berthynas sylweddol arall â'r gwaith rhag cyhoeddi papur ond rhoi gwybodaeth i ddarllenwyr er mwyn iddynt lunio eu barn eu hunain. Dylai'r rhai hynny sy'n gweithio mewn rolau adolygu gan gymheiriaid neu gynghori (e.e. rolau sy'n ymwneud â chynigion grant, llawysgrifau cyfnodolion, polisïau ymchwil) hefyd ddatgelu unrhyw wrthdaro rhwng buddiannau.</w:t>
      </w:r>
    </w:p>
    <w:p w14:paraId="1CE7AD19" w14:textId="77777777" w:rsidR="00C034E8" w:rsidRPr="00CD3FB8" w:rsidRDefault="00C034E8" w:rsidP="00C034E8">
      <w:pPr>
        <w:rPr>
          <w:rFonts w:asciiTheme="minorHAnsi" w:hAnsiTheme="minorHAnsi" w:cstheme="minorHAnsi"/>
          <w:sz w:val="22"/>
          <w:szCs w:val="22"/>
        </w:rPr>
      </w:pPr>
    </w:p>
    <w:p w14:paraId="7EE85D3D" w14:textId="77777777" w:rsidR="00C034E8" w:rsidRPr="00CD3FB8" w:rsidRDefault="00C034E8" w:rsidP="00C034E8">
      <w:pPr>
        <w:rPr>
          <w:rFonts w:asciiTheme="minorHAnsi" w:hAnsiTheme="minorHAnsi" w:cstheme="minorHAnsi"/>
          <w:sz w:val="22"/>
          <w:szCs w:val="22"/>
        </w:rPr>
      </w:pPr>
      <w:r w:rsidRPr="00CD3FB8">
        <w:rPr>
          <w:rFonts w:asciiTheme="minorHAnsi" w:hAnsiTheme="minorHAnsi" w:cstheme="minorHAnsi"/>
          <w:b/>
          <w:sz w:val="22"/>
          <w:szCs w:val="22"/>
          <w:lang w:bidi="cy"/>
        </w:rPr>
        <w:t>Grantiau/contractau trafod</w:t>
      </w:r>
      <w:r w:rsidRPr="00CD3FB8">
        <w:rPr>
          <w:rFonts w:asciiTheme="minorHAnsi" w:hAnsiTheme="minorHAnsi" w:cstheme="minorHAnsi"/>
          <w:sz w:val="22"/>
          <w:szCs w:val="22"/>
          <w:lang w:bidi="cy"/>
        </w:rPr>
        <w:t xml:space="preserve"> - Dylai staff a myfyrwyr ddatgan yr holl fuddiannau wrth wneud cais am grantiau, trafod contractau ac ati. Yn benodol, mae angen datgan achosion o wrthdaro ariannol er mwyn osgoi amheuon ynghylch dilysrwydd ymchwil, a difrod posibl i enw da yn dilyn hynny.</w:t>
      </w:r>
    </w:p>
    <w:p w14:paraId="334DE01A" w14:textId="77777777" w:rsidR="00C034E8" w:rsidRPr="00CD3FB8" w:rsidRDefault="00C034E8" w:rsidP="00C034E8">
      <w:pPr>
        <w:rPr>
          <w:rFonts w:asciiTheme="minorHAnsi" w:hAnsiTheme="minorHAnsi" w:cstheme="minorHAnsi"/>
          <w:sz w:val="22"/>
          <w:szCs w:val="22"/>
        </w:rPr>
      </w:pPr>
    </w:p>
    <w:p w14:paraId="4D9B117F" w14:textId="7D28B0B7" w:rsidR="00C034E8" w:rsidRDefault="00C034E8" w:rsidP="00C034E8">
      <w:pPr>
        <w:rPr>
          <w:rFonts w:asciiTheme="minorHAnsi" w:hAnsiTheme="minorHAnsi" w:cstheme="minorHAnsi"/>
          <w:sz w:val="22"/>
          <w:szCs w:val="22"/>
        </w:rPr>
      </w:pPr>
      <w:r w:rsidRPr="00CD3FB8">
        <w:rPr>
          <w:rFonts w:asciiTheme="minorHAnsi" w:hAnsiTheme="minorHAnsi" w:cstheme="minorHAnsi"/>
          <w:b/>
          <w:sz w:val="22"/>
          <w:szCs w:val="22"/>
          <w:lang w:bidi="cy"/>
        </w:rPr>
        <w:t>Cyflogi aelodau o'r teulu</w:t>
      </w:r>
      <w:r w:rsidRPr="00CD3FB8">
        <w:rPr>
          <w:rFonts w:asciiTheme="minorHAnsi" w:hAnsiTheme="minorHAnsi" w:cstheme="minorHAnsi"/>
          <w:sz w:val="22"/>
          <w:szCs w:val="22"/>
          <w:lang w:bidi="cy"/>
        </w:rPr>
        <w:t xml:space="preserve"> – rhaid bod yn arbennig o ofalus wrth gyflogi aelodau o'r teulu/cydberthnasol personol agos. Rhaid i'r holl benderfyniadau sy'n ymwneud â recriwtio staff fod yn unol â Pholisi Recriwtio a Dethol y Brifysgol. </w:t>
      </w:r>
    </w:p>
    <w:p w14:paraId="50FB1CFD" w14:textId="77777777" w:rsidR="00C034E8" w:rsidRDefault="00C034E8" w:rsidP="00C034E8">
      <w:pPr>
        <w:rPr>
          <w:rFonts w:asciiTheme="minorHAnsi" w:hAnsiTheme="minorHAnsi" w:cstheme="minorHAnsi"/>
          <w:sz w:val="22"/>
          <w:szCs w:val="22"/>
        </w:rPr>
      </w:pPr>
    </w:p>
    <w:p w14:paraId="4C93E64F" w14:textId="77777777" w:rsidR="00C034E8" w:rsidRPr="008240BD" w:rsidRDefault="00C034E8" w:rsidP="00C034E8">
      <w:pPr>
        <w:rPr>
          <w:rFonts w:asciiTheme="minorHAnsi" w:hAnsiTheme="minorHAnsi" w:cstheme="minorHAnsi"/>
          <w:sz w:val="22"/>
          <w:szCs w:val="22"/>
        </w:rPr>
      </w:pPr>
      <w:r w:rsidRPr="00462466">
        <w:rPr>
          <w:rFonts w:asciiTheme="minorHAnsi" w:hAnsiTheme="minorHAnsi" w:cstheme="minorHAnsi"/>
          <w:b/>
          <w:sz w:val="22"/>
          <w:szCs w:val="22"/>
          <w:lang w:bidi="cy"/>
        </w:rPr>
        <w:t>Teulu agos/cydberthnasau personol â myfyrwyr</w:t>
      </w:r>
      <w:r w:rsidRPr="00462466">
        <w:rPr>
          <w:rFonts w:asciiTheme="minorHAnsi" w:hAnsiTheme="minorHAnsi" w:cstheme="minorHAnsi"/>
          <w:sz w:val="22"/>
          <w:szCs w:val="22"/>
          <w:lang w:bidi="cy"/>
        </w:rPr>
        <w:t xml:space="preserve"> - ni ddylai staff sydd a chydberthynas bersonol neu deuluol agos â myfyriwr neu deulu myfyriwr fod yn rhan o benderfyniadau am broses derbyn y myfyriwr hwnnw, y gwaith o'i oruchwylio na'i gynnydd academaidd, na ddyraniad unrhyw ysgoloriaethau, gwobrau na grantiau a roddwyd i'r myfyriwr.</w:t>
      </w:r>
    </w:p>
    <w:p w14:paraId="60F73AB7" w14:textId="77777777" w:rsidR="00C034E8" w:rsidRDefault="00C034E8" w:rsidP="00C034E8">
      <w:pPr>
        <w:rPr>
          <w:rFonts w:asciiTheme="minorHAnsi" w:hAnsiTheme="minorHAnsi" w:cstheme="minorHAnsi"/>
          <w:sz w:val="22"/>
          <w:szCs w:val="22"/>
        </w:rPr>
      </w:pPr>
    </w:p>
    <w:p w14:paraId="07946C67" w14:textId="110EFF9F" w:rsidR="00C034E8" w:rsidRDefault="00C034E8" w:rsidP="00C034E8">
      <w:pPr>
        <w:rPr>
          <w:rFonts w:asciiTheme="minorHAnsi" w:hAnsiTheme="minorHAnsi" w:cstheme="minorHAnsi"/>
          <w:sz w:val="22"/>
          <w:szCs w:val="22"/>
        </w:rPr>
      </w:pPr>
      <w:r w:rsidRPr="008240BD">
        <w:rPr>
          <w:rFonts w:asciiTheme="minorHAnsi" w:hAnsiTheme="minorHAnsi" w:cstheme="minorHAnsi"/>
          <w:b/>
          <w:sz w:val="22"/>
          <w:szCs w:val="22"/>
          <w:lang w:bidi="cy"/>
        </w:rPr>
        <w:t>Defnyddio adnoddau'r Brifysgol</w:t>
      </w:r>
      <w:r w:rsidRPr="008240BD">
        <w:rPr>
          <w:rFonts w:asciiTheme="minorHAnsi" w:hAnsiTheme="minorHAnsi" w:cstheme="minorHAnsi"/>
          <w:sz w:val="22"/>
          <w:szCs w:val="22"/>
          <w:lang w:bidi="cy"/>
        </w:rPr>
        <w:t xml:space="preserve"> - Ni ddylai aelodau staff ddefnyddio adnoddau'r Brifysgol wrth ymgymryd â gwaith ymgynghori neu weithio i sefydliadau allanol, oni bai bod eu rheolwr llinell a Phennaeth yr Ysgol/Adran wedi rhoi caniatâd penodol. Yn yr un modd, ni ddylid defnyddio adnoddau gan sefydliad allanol yn rôl yr unigolyn yn y Brifysgol oni bai bod ei reolwr llinell a Phennaeth yr Ysgol/Adran wedi rhoi caniatâd penodol oherwydd gall hyn gael ei ddehongli fel cymeradwyaeth gan y Brifysgol o'r adnodd hwnnw. </w:t>
      </w:r>
    </w:p>
    <w:p w14:paraId="640F70CD" w14:textId="77777777" w:rsidR="00C034E8" w:rsidRPr="00CD3FB8" w:rsidRDefault="00C034E8" w:rsidP="00C034E8">
      <w:pPr>
        <w:rPr>
          <w:rFonts w:asciiTheme="minorHAnsi" w:hAnsiTheme="minorHAnsi" w:cstheme="minorHAnsi"/>
          <w:sz w:val="22"/>
          <w:szCs w:val="22"/>
        </w:rPr>
      </w:pPr>
    </w:p>
    <w:p w14:paraId="3F6749F4" w14:textId="77777777" w:rsidR="00C034E8" w:rsidRDefault="00C034E8" w:rsidP="00C034E8">
      <w:pPr>
        <w:rPr>
          <w:rFonts w:asciiTheme="minorHAnsi" w:hAnsiTheme="minorHAnsi" w:cstheme="minorHAnsi"/>
          <w:sz w:val="22"/>
          <w:szCs w:val="22"/>
        </w:rPr>
      </w:pPr>
      <w:r>
        <w:rPr>
          <w:rFonts w:asciiTheme="minorHAnsi" w:hAnsiTheme="minorHAnsi" w:cstheme="minorHAnsi"/>
          <w:b/>
          <w:sz w:val="22"/>
          <w:szCs w:val="22"/>
          <w:lang w:bidi="cy"/>
        </w:rPr>
        <w:t>Caffael/negodi contractau</w:t>
      </w:r>
      <w:r>
        <w:rPr>
          <w:rFonts w:asciiTheme="minorHAnsi" w:hAnsiTheme="minorHAnsi" w:cstheme="minorHAnsi"/>
          <w:sz w:val="22"/>
          <w:szCs w:val="22"/>
          <w:lang w:bidi="cy"/>
        </w:rPr>
        <w:t xml:space="preserve"> - Os oes gan aelod o staff achos o wrthdaro buddiannau (e.e. sy'n deillio o berthynas bersonol neu benodiad allanol) sy'n ymwneud â chaffael nwyddau a gwasanaethau, ni ellir eu cynnwys yn y penderfyniad o brynu na negodi contractau. </w:t>
      </w:r>
    </w:p>
    <w:p w14:paraId="788CFB8A" w14:textId="77777777" w:rsidR="00C034E8" w:rsidRDefault="00C034E8" w:rsidP="00C034E8">
      <w:pPr>
        <w:rPr>
          <w:rFonts w:asciiTheme="minorHAnsi" w:hAnsiTheme="minorHAnsi" w:cstheme="minorHAnsi"/>
          <w:sz w:val="22"/>
          <w:szCs w:val="22"/>
        </w:rPr>
      </w:pPr>
    </w:p>
    <w:p w14:paraId="539ADE88" w14:textId="6711029F" w:rsidR="00C034E8" w:rsidRPr="004A0CC1" w:rsidRDefault="00C034E8" w:rsidP="00C034E8">
      <w:pPr>
        <w:rPr>
          <w:rFonts w:asciiTheme="minorHAnsi" w:hAnsiTheme="minorHAnsi" w:cstheme="minorHAnsi"/>
          <w:sz w:val="22"/>
          <w:szCs w:val="22"/>
        </w:rPr>
      </w:pPr>
      <w:r>
        <w:rPr>
          <w:rFonts w:asciiTheme="minorHAnsi" w:hAnsiTheme="minorHAnsi" w:cstheme="minorHAnsi"/>
          <w:sz w:val="22"/>
          <w:szCs w:val="22"/>
          <w:lang w:bidi="cy"/>
        </w:rPr>
        <w:t xml:space="preserve">Yn ogystal â gofynion y Brifysgol o dan y Polisi a'r weithdrefn Datgan Buddiant, efallai y bydd angen rhoi gwybod i rai cyllidwyr yn uniongyrchol am fuddiannau penodol, a/neu gadw'r hawl i adolygu cynllun ar gyfer rheoli achosion o wrthdaro buddiannau, a/neu wahardd deiliaid grant rhag ymgymryd â gweithgareddau penodol. </w:t>
      </w:r>
    </w:p>
    <w:p w14:paraId="2310FB8C" w14:textId="5CAEE01E" w:rsidR="00590EAE" w:rsidRPr="00636FC4" w:rsidRDefault="00590EAE" w:rsidP="00636FC4">
      <w:pPr>
        <w:rPr>
          <w:rFonts w:asciiTheme="minorHAnsi" w:hAnsiTheme="minorHAnsi" w:cstheme="minorHAnsi"/>
          <w:sz w:val="22"/>
          <w:szCs w:val="22"/>
        </w:rPr>
      </w:pPr>
    </w:p>
    <w:p w14:paraId="5F680E2C" w14:textId="27479649" w:rsidR="000811CA" w:rsidRPr="006A1E2D" w:rsidRDefault="00775D5E" w:rsidP="00AF4B46">
      <w:pPr>
        <w:autoSpaceDE w:val="0"/>
        <w:autoSpaceDN w:val="0"/>
        <w:adjustRightInd w:val="0"/>
        <w:jc w:val="both"/>
        <w:rPr>
          <w:rFonts w:asciiTheme="minorHAnsi" w:hAnsiTheme="minorHAnsi" w:cs="Arial"/>
          <w:b/>
          <w:color w:val="292526"/>
          <w:lang w:bidi="he-IL"/>
        </w:rPr>
      </w:pPr>
      <w:r w:rsidRPr="006A1E2D">
        <w:rPr>
          <w:rFonts w:asciiTheme="minorHAnsi" w:hAnsiTheme="minorHAnsi" w:cs="Arial"/>
          <w:b/>
          <w:color w:val="292526"/>
          <w:lang w:bidi="cy"/>
        </w:rPr>
        <w:t>Sefydliadau Iechyd Cenedlaethol (NIH) yr UDA: gwrthdaro buddiannau ariannol</w:t>
      </w:r>
    </w:p>
    <w:p w14:paraId="0313C3EC" w14:textId="762D2163" w:rsidR="00D76992" w:rsidRDefault="006A1E2D" w:rsidP="000811CA">
      <w:pPr>
        <w:autoSpaceDE w:val="0"/>
        <w:autoSpaceDN w:val="0"/>
        <w:adjustRightInd w:val="0"/>
        <w:jc w:val="both"/>
        <w:rPr>
          <w:rFonts w:asciiTheme="minorHAnsi" w:hAnsiTheme="minorHAnsi" w:cs="Arial"/>
          <w:color w:val="292526"/>
          <w:sz w:val="22"/>
          <w:szCs w:val="22"/>
          <w:lang w:bidi="he-IL"/>
        </w:rPr>
      </w:pPr>
      <w:r w:rsidRPr="006A1E2D">
        <w:rPr>
          <w:rFonts w:asciiTheme="minorHAnsi" w:hAnsiTheme="minorHAnsi" w:cs="Arial"/>
          <w:color w:val="292526"/>
          <w:sz w:val="22"/>
          <w:szCs w:val="22"/>
          <w:lang w:bidi="cy"/>
        </w:rPr>
        <w:t>Mae rheoliadau Adran Iechyd a Gwasanaethau Dynol yr UDA 2012 ar ddatgelu a rhoi gwybod am achosion o wrthdaro buddiannau i ymchwilwyr a ariennir drwy ei Wasanaeth Iechyd Cyhoeddus (sy'n cynnwys yr NIH) yn cynnwys gofynion penodol ynghylch achosion o wrthdaro buddiannau ariannol.</w:t>
      </w:r>
    </w:p>
    <w:p w14:paraId="1A3351FC" w14:textId="5C5C5D32" w:rsidR="00585934" w:rsidRDefault="00585934" w:rsidP="00D76992">
      <w:pPr>
        <w:jc w:val="both"/>
        <w:rPr>
          <w:rFonts w:asciiTheme="minorHAnsi" w:hAnsiTheme="minorHAnsi" w:cs="Arial"/>
          <w:b/>
          <w:color w:val="292526"/>
          <w:sz w:val="22"/>
          <w:szCs w:val="22"/>
          <w:lang w:bidi="he-IL"/>
        </w:rPr>
      </w:pPr>
    </w:p>
    <w:p w14:paraId="62A5C8DB" w14:textId="15574F8E" w:rsidR="00C67AB8" w:rsidRPr="00C67AB8" w:rsidRDefault="00C67AB8" w:rsidP="006A1E2D">
      <w:pPr>
        <w:autoSpaceDE w:val="0"/>
        <w:autoSpaceDN w:val="0"/>
        <w:adjustRightInd w:val="0"/>
        <w:jc w:val="both"/>
        <w:rPr>
          <w:rFonts w:asciiTheme="minorHAnsi" w:hAnsiTheme="minorHAnsi" w:cs="Courier New"/>
          <w:b/>
          <w:bCs/>
          <w:sz w:val="22"/>
          <w:szCs w:val="22"/>
          <w:lang w:bidi="he-IL"/>
        </w:rPr>
      </w:pPr>
      <w:r>
        <w:rPr>
          <w:rFonts w:asciiTheme="minorHAnsi" w:hAnsiTheme="minorHAnsi" w:cs="Courier New"/>
          <w:b/>
          <w:sz w:val="22"/>
          <w:szCs w:val="22"/>
          <w:lang w:bidi="cy"/>
        </w:rPr>
        <w:t>Cwmpas</w:t>
      </w:r>
    </w:p>
    <w:p w14:paraId="0FC2E8A0" w14:textId="129E6C19" w:rsidR="006A1E2D" w:rsidRPr="007E1074" w:rsidRDefault="006A1E2D" w:rsidP="006A1E2D">
      <w:pPr>
        <w:autoSpaceDE w:val="0"/>
        <w:autoSpaceDN w:val="0"/>
        <w:adjustRightInd w:val="0"/>
        <w:jc w:val="both"/>
        <w:rPr>
          <w:rFonts w:asciiTheme="minorHAnsi" w:hAnsiTheme="minorHAnsi" w:cs="Courier New"/>
          <w:sz w:val="22"/>
          <w:szCs w:val="22"/>
          <w:lang w:bidi="he-IL"/>
        </w:rPr>
      </w:pPr>
      <w:r w:rsidRPr="007E1074">
        <w:rPr>
          <w:rFonts w:asciiTheme="minorHAnsi" w:hAnsiTheme="minorHAnsi" w:cs="Courier New"/>
          <w:sz w:val="22"/>
          <w:szCs w:val="22"/>
          <w:lang w:bidi="cy"/>
        </w:rPr>
        <w:t>Mae'r gofynion a amlygwyd yn yr adran hon yn berthnasol i bob ymchwilydd a ariennir gan yr NIH (neu drwy is-gontract gyda phrifysgol, lle mae'r ymchwil dan sylw yn cael ei hariannu gan yr NIH). At ddibenion y polisi hwn, diffinnir ymchwilydd fel a ganlyn:</w:t>
      </w:r>
    </w:p>
    <w:p w14:paraId="4362E92A" w14:textId="77777777" w:rsidR="006A1E2D" w:rsidRPr="00E14459" w:rsidRDefault="006A1E2D" w:rsidP="006A1E2D">
      <w:pPr>
        <w:pStyle w:val="ListParagraph"/>
        <w:autoSpaceDE w:val="0"/>
        <w:autoSpaceDN w:val="0"/>
        <w:adjustRightInd w:val="0"/>
        <w:ind w:left="770"/>
        <w:jc w:val="both"/>
        <w:rPr>
          <w:rFonts w:asciiTheme="minorHAnsi" w:hAnsiTheme="minorHAnsi" w:cs="Courier New"/>
          <w:sz w:val="22"/>
          <w:szCs w:val="22"/>
          <w:lang w:bidi="he-IL"/>
        </w:rPr>
      </w:pPr>
      <w:r w:rsidRPr="00E14459">
        <w:rPr>
          <w:rFonts w:asciiTheme="minorHAnsi" w:hAnsiTheme="minorHAnsi" w:cs="Courier New"/>
          <w:sz w:val="22"/>
          <w:szCs w:val="22"/>
          <w:lang w:bidi="cy"/>
        </w:rPr>
        <w:t xml:space="preserve"> </w:t>
      </w:r>
    </w:p>
    <w:p w14:paraId="4497BC16" w14:textId="34874342" w:rsidR="006A1E2D" w:rsidRDefault="006A1E2D" w:rsidP="006A1E2D">
      <w:pPr>
        <w:autoSpaceDE w:val="0"/>
        <w:autoSpaceDN w:val="0"/>
        <w:adjustRightInd w:val="0"/>
        <w:jc w:val="both"/>
        <w:rPr>
          <w:rFonts w:asciiTheme="minorHAnsi" w:hAnsiTheme="minorHAnsi" w:cs="Courier New"/>
          <w:sz w:val="22"/>
          <w:szCs w:val="22"/>
          <w:lang w:bidi="he-IL"/>
        </w:rPr>
      </w:pPr>
      <w:r w:rsidRPr="00AA5651">
        <w:rPr>
          <w:rFonts w:asciiTheme="minorHAnsi" w:hAnsiTheme="minorHAnsi" w:cs="Courier New"/>
          <w:sz w:val="22"/>
          <w:szCs w:val="22"/>
          <w:lang w:bidi="cy"/>
        </w:rPr>
        <w:t xml:space="preserve">Ystyr "Ymchwilydd" yw cyfarwyddwr y prosiect neu'r prif ymchwilydd ac unrhyw berson arall, beth bynnag yw ei deitl neu ei swydd, sy'n gyfrifol am ddylunio, cynnal neu roi gwybod am ymchwil a ariennir gan y PHS (e. e., NIH), neu a gynigir ar gyfer cyllid o'r fath, a all gynnwys, er enghraifft, cydweithwyr neu ymgynghorwyr.  </w:t>
      </w:r>
    </w:p>
    <w:p w14:paraId="442C1950" w14:textId="77777777" w:rsidR="00C67AB8" w:rsidRDefault="00C67AB8" w:rsidP="006A1E2D">
      <w:pPr>
        <w:autoSpaceDE w:val="0"/>
        <w:autoSpaceDN w:val="0"/>
        <w:adjustRightInd w:val="0"/>
        <w:jc w:val="both"/>
        <w:rPr>
          <w:rFonts w:asciiTheme="minorHAnsi" w:hAnsiTheme="minorHAnsi" w:cs="Courier New"/>
          <w:sz w:val="22"/>
          <w:szCs w:val="22"/>
          <w:lang w:bidi="he-IL"/>
        </w:rPr>
      </w:pPr>
    </w:p>
    <w:p w14:paraId="64734784" w14:textId="77777777" w:rsidR="006A1E2D" w:rsidRPr="00760E4C" w:rsidRDefault="006A1E2D" w:rsidP="006A1E2D">
      <w:pPr>
        <w:autoSpaceDE w:val="0"/>
        <w:autoSpaceDN w:val="0"/>
        <w:adjustRightInd w:val="0"/>
        <w:jc w:val="both"/>
        <w:rPr>
          <w:rFonts w:asciiTheme="minorHAnsi" w:hAnsiTheme="minorHAnsi" w:cs="Courier New"/>
          <w:b/>
          <w:bCs/>
          <w:sz w:val="22"/>
          <w:szCs w:val="22"/>
          <w:lang w:bidi="he-IL"/>
        </w:rPr>
      </w:pPr>
      <w:r w:rsidRPr="00760E4C">
        <w:rPr>
          <w:rFonts w:asciiTheme="minorHAnsi" w:hAnsiTheme="minorHAnsi" w:cs="Courier New"/>
          <w:b/>
          <w:sz w:val="22"/>
          <w:szCs w:val="22"/>
          <w:lang w:bidi="cy"/>
        </w:rPr>
        <w:t xml:space="preserve">Diffiniadau </w:t>
      </w:r>
    </w:p>
    <w:p w14:paraId="358B8811" w14:textId="44583DF6" w:rsidR="006A1E2D" w:rsidRDefault="002E104A" w:rsidP="006A1E2D">
      <w:pPr>
        <w:autoSpaceDE w:val="0"/>
        <w:autoSpaceDN w:val="0"/>
        <w:adjustRightInd w:val="0"/>
        <w:jc w:val="both"/>
        <w:rPr>
          <w:rFonts w:asciiTheme="minorHAnsi" w:hAnsiTheme="minorHAnsi" w:cs="Courier New"/>
          <w:sz w:val="22"/>
          <w:szCs w:val="22"/>
          <w:lang w:bidi="he-IL"/>
        </w:rPr>
      </w:pPr>
      <w:r>
        <w:rPr>
          <w:rFonts w:asciiTheme="minorHAnsi" w:hAnsiTheme="minorHAnsi" w:cs="Courier New"/>
          <w:sz w:val="22"/>
          <w:szCs w:val="22"/>
          <w:lang w:bidi="cy"/>
        </w:rPr>
        <w:t>Yn unol â'r rheoliadau, mae achos o Wrthdaro Buddiannau Ariannol yn bodoli pan fydd y Sefydliad, drwy ei swyddog(au) dynodedig, yn penderfynu mewn modd rhesymol bod Buddiant Ariannol Sylweddol Ymchwilydd yn gysylltiedig â phrosiect ymchwil a ariennir gan NIH a gallai effeithio'n uniongyrchol ac yn sylweddol ar y gwaith o lunio, cynnal neu roi gwybod am yr ymchwil a ariennir gan NIH.</w:t>
      </w:r>
    </w:p>
    <w:p w14:paraId="084DEADA" w14:textId="30375090" w:rsidR="002E104A" w:rsidRDefault="002E104A" w:rsidP="006A1E2D">
      <w:pPr>
        <w:autoSpaceDE w:val="0"/>
        <w:autoSpaceDN w:val="0"/>
        <w:adjustRightInd w:val="0"/>
        <w:jc w:val="both"/>
        <w:rPr>
          <w:rFonts w:asciiTheme="minorHAnsi" w:hAnsiTheme="minorHAnsi" w:cs="Courier New"/>
          <w:sz w:val="22"/>
          <w:szCs w:val="22"/>
          <w:lang w:bidi="he-IL"/>
        </w:rPr>
      </w:pPr>
    </w:p>
    <w:p w14:paraId="6DC3B13A" w14:textId="77777777" w:rsidR="002E104A" w:rsidRPr="002E104A" w:rsidRDefault="002E104A" w:rsidP="002E104A">
      <w:pPr>
        <w:autoSpaceDE w:val="0"/>
        <w:autoSpaceDN w:val="0"/>
        <w:adjustRightInd w:val="0"/>
        <w:jc w:val="both"/>
        <w:rPr>
          <w:rFonts w:asciiTheme="minorHAnsi" w:hAnsiTheme="minorHAnsi" w:cs="Courier New"/>
          <w:sz w:val="22"/>
          <w:szCs w:val="22"/>
          <w:lang w:bidi="he-IL"/>
        </w:rPr>
      </w:pPr>
      <w:r w:rsidRPr="002E104A">
        <w:rPr>
          <w:rFonts w:asciiTheme="minorHAnsi" w:hAnsiTheme="minorHAnsi" w:cs="Courier New"/>
          <w:sz w:val="22"/>
          <w:szCs w:val="22"/>
          <w:lang w:bidi="cy"/>
        </w:rPr>
        <w:t xml:space="preserve">Mae'r rheoliad yn cwmpasu'r holl fuddiannau ariannol sydd â gwerth ariannol, p'un a yw'r gwerth yn hawdd ei ganfod ai peidio.    </w:t>
      </w:r>
    </w:p>
    <w:p w14:paraId="0772E985" w14:textId="77777777" w:rsidR="002E104A" w:rsidRPr="002E104A" w:rsidRDefault="002E104A" w:rsidP="002E104A">
      <w:pPr>
        <w:autoSpaceDE w:val="0"/>
        <w:autoSpaceDN w:val="0"/>
        <w:adjustRightInd w:val="0"/>
        <w:jc w:val="both"/>
        <w:rPr>
          <w:rFonts w:asciiTheme="minorHAnsi" w:hAnsiTheme="minorHAnsi" w:cs="Courier New"/>
          <w:sz w:val="22"/>
          <w:szCs w:val="22"/>
          <w:lang w:bidi="he-IL"/>
        </w:rPr>
      </w:pPr>
    </w:p>
    <w:p w14:paraId="5E755913" w14:textId="77777777" w:rsidR="002E104A" w:rsidRPr="002E104A" w:rsidRDefault="002E104A" w:rsidP="002E104A">
      <w:pPr>
        <w:autoSpaceDE w:val="0"/>
        <w:autoSpaceDN w:val="0"/>
        <w:adjustRightInd w:val="0"/>
        <w:jc w:val="both"/>
        <w:rPr>
          <w:rFonts w:asciiTheme="minorHAnsi" w:hAnsiTheme="minorHAnsi" w:cs="Courier New"/>
          <w:sz w:val="22"/>
          <w:szCs w:val="22"/>
          <w:lang w:bidi="he-IL"/>
        </w:rPr>
      </w:pPr>
      <w:r w:rsidRPr="002E104A">
        <w:rPr>
          <w:rFonts w:asciiTheme="minorHAnsi" w:hAnsiTheme="minorHAnsi" w:cs="Courier New"/>
          <w:sz w:val="22"/>
          <w:szCs w:val="22"/>
          <w:lang w:bidi="cy"/>
        </w:rPr>
        <w:t>Mae rheoliad diwygiedig 2011 yn diffinio "Buddiant Ariannol Sylweddol" fel a ganlyn:</w:t>
      </w:r>
    </w:p>
    <w:p w14:paraId="56E70BDD" w14:textId="77777777" w:rsidR="002E104A" w:rsidRPr="002E104A" w:rsidRDefault="002E104A" w:rsidP="002E104A">
      <w:pPr>
        <w:autoSpaceDE w:val="0"/>
        <w:autoSpaceDN w:val="0"/>
        <w:adjustRightInd w:val="0"/>
        <w:jc w:val="both"/>
        <w:rPr>
          <w:rFonts w:asciiTheme="minorHAnsi" w:hAnsiTheme="minorHAnsi" w:cs="Courier New"/>
          <w:sz w:val="22"/>
          <w:szCs w:val="22"/>
          <w:lang w:bidi="he-IL"/>
        </w:rPr>
      </w:pPr>
    </w:p>
    <w:p w14:paraId="78BEEE94" w14:textId="77777777" w:rsidR="002E104A" w:rsidRPr="002E104A" w:rsidRDefault="002E104A" w:rsidP="002E104A">
      <w:pPr>
        <w:autoSpaceDE w:val="0"/>
        <w:autoSpaceDN w:val="0"/>
        <w:adjustRightInd w:val="0"/>
        <w:jc w:val="both"/>
        <w:rPr>
          <w:rFonts w:asciiTheme="minorHAnsi" w:hAnsiTheme="minorHAnsi" w:cs="Courier New"/>
          <w:sz w:val="22"/>
          <w:szCs w:val="22"/>
          <w:lang w:bidi="he-IL"/>
        </w:rPr>
      </w:pPr>
      <w:r w:rsidRPr="002E104A">
        <w:rPr>
          <w:rFonts w:asciiTheme="minorHAnsi" w:hAnsiTheme="minorHAnsi" w:cs="Courier New"/>
          <w:sz w:val="22"/>
          <w:szCs w:val="22"/>
          <w:lang w:bidi="cy"/>
        </w:rPr>
        <w:t>"(1) Buddiant ariannol sy'n cynnwys un neu fwy o fuddiannau canlynol yr Ymchwilydd (a buddiannau priod a phlant dibynnol yr Ymchwilydd) sy'n ymddangos yn rhesymol gysylltiedig â chyfrifoldebau sefydliadol yr Ymchwilydd:</w:t>
      </w:r>
    </w:p>
    <w:p w14:paraId="4FD3A70A" w14:textId="77777777" w:rsidR="002E104A" w:rsidRPr="002E104A" w:rsidRDefault="002E104A" w:rsidP="002E104A">
      <w:pPr>
        <w:autoSpaceDE w:val="0"/>
        <w:autoSpaceDN w:val="0"/>
        <w:adjustRightInd w:val="0"/>
        <w:jc w:val="both"/>
        <w:rPr>
          <w:rFonts w:asciiTheme="minorHAnsi" w:hAnsiTheme="minorHAnsi" w:cs="Courier New"/>
          <w:sz w:val="22"/>
          <w:szCs w:val="22"/>
          <w:lang w:bidi="he-IL"/>
        </w:rPr>
      </w:pPr>
    </w:p>
    <w:p w14:paraId="05BC0D78" w14:textId="77777777" w:rsidR="002E104A" w:rsidRPr="002E104A" w:rsidRDefault="002E104A" w:rsidP="002E104A">
      <w:pPr>
        <w:autoSpaceDE w:val="0"/>
        <w:autoSpaceDN w:val="0"/>
        <w:adjustRightInd w:val="0"/>
        <w:ind w:left="720"/>
        <w:jc w:val="both"/>
        <w:rPr>
          <w:rFonts w:asciiTheme="minorHAnsi" w:hAnsiTheme="minorHAnsi" w:cs="Courier New"/>
          <w:sz w:val="22"/>
          <w:szCs w:val="22"/>
          <w:lang w:bidi="he-IL"/>
        </w:rPr>
      </w:pPr>
      <w:r w:rsidRPr="002E104A">
        <w:rPr>
          <w:rFonts w:asciiTheme="minorHAnsi" w:hAnsiTheme="minorHAnsi" w:cs="Courier New"/>
          <w:sz w:val="22"/>
          <w:szCs w:val="22"/>
          <w:lang w:bidi="cy"/>
        </w:rPr>
        <w:t>(i) O ran unrhyw endid a fasnachwyd yn gyhoeddus, mae buddiant ariannol sylweddol yn bodoli os yw gwerth unrhyw gydnabyddiaeth ariannol a gafwyd gan yr endid yn y deuddeg mis cyn y datgeliad ac os yw gwerth unrhyw fuddiannau ecwiti yn yr endid o ddyddiad y datgeliad, ar ôl eu cyfuno, yn fwy na $5,000.  At ddibenion y diffiniad hwn, mae cydnabyddiaeth ariannol yn cynnwys cyflog ac unrhyw daliad am wasanaethau nad ydynt wedi'u nodi fel arall fel cyflog (e.e., ffioedd ymgynghori, honoraria, awduraeth â thâl); mae buddiannau ecwiti yn cynnwys unrhyw stoc, opsiwn stoc, neu fuddiant berchnogaeth arall, fel y pennwyd drwy gyfeirio at brisiau cyhoeddus neu fesurau rhesymol eraill o werth teg y farchnad;</w:t>
      </w:r>
    </w:p>
    <w:p w14:paraId="1A5D581D" w14:textId="77777777" w:rsidR="002E104A" w:rsidRPr="002E104A" w:rsidRDefault="002E104A" w:rsidP="002E104A">
      <w:pPr>
        <w:autoSpaceDE w:val="0"/>
        <w:autoSpaceDN w:val="0"/>
        <w:adjustRightInd w:val="0"/>
        <w:jc w:val="both"/>
        <w:rPr>
          <w:rFonts w:asciiTheme="minorHAnsi" w:hAnsiTheme="minorHAnsi" w:cs="Courier New"/>
          <w:sz w:val="22"/>
          <w:szCs w:val="22"/>
          <w:lang w:bidi="he-IL"/>
        </w:rPr>
      </w:pPr>
    </w:p>
    <w:p w14:paraId="0A0A07C3" w14:textId="77777777" w:rsidR="002E104A" w:rsidRPr="002E104A" w:rsidRDefault="002E104A" w:rsidP="002E104A">
      <w:pPr>
        <w:autoSpaceDE w:val="0"/>
        <w:autoSpaceDN w:val="0"/>
        <w:adjustRightInd w:val="0"/>
        <w:ind w:left="720"/>
        <w:jc w:val="both"/>
        <w:rPr>
          <w:rFonts w:asciiTheme="minorHAnsi" w:hAnsiTheme="minorHAnsi" w:cs="Courier New"/>
          <w:sz w:val="22"/>
          <w:szCs w:val="22"/>
          <w:lang w:bidi="he-IL"/>
        </w:rPr>
      </w:pPr>
      <w:r w:rsidRPr="002E104A">
        <w:rPr>
          <w:rFonts w:asciiTheme="minorHAnsi" w:hAnsiTheme="minorHAnsi" w:cs="Courier New"/>
          <w:sz w:val="22"/>
          <w:szCs w:val="22"/>
          <w:lang w:bidi="cy"/>
        </w:rPr>
        <w:t>(ii) O ran unrhyw endid nad yw'n cael ei fasnachu'n gyhoeddus, mae buddiant ariannol sylweddol yn bodoli os yw gwerth unrhyw gydnabyddiaeth ariannol a gafwyd gan yr endid yn y deuddeg mis cyn y datgeliad, ar ôl eu cyfuno, yn fwy na $5,000. neu pan fo gan yr Ymchwilydd (neu briod neu blant dibynnol yr Ymchwilydd) unrhyw fuddiant ecwiti (e. e., stoc, opsiwn stoc, neu fuddiant berchnogaeth arall); neu</w:t>
      </w:r>
    </w:p>
    <w:p w14:paraId="3DD8724C" w14:textId="77777777" w:rsidR="002E104A" w:rsidRPr="002E104A" w:rsidRDefault="002E104A" w:rsidP="002E104A">
      <w:pPr>
        <w:autoSpaceDE w:val="0"/>
        <w:autoSpaceDN w:val="0"/>
        <w:adjustRightInd w:val="0"/>
        <w:jc w:val="both"/>
        <w:rPr>
          <w:rFonts w:asciiTheme="minorHAnsi" w:hAnsiTheme="minorHAnsi" w:cs="Courier New"/>
          <w:sz w:val="22"/>
          <w:szCs w:val="22"/>
          <w:lang w:bidi="he-IL"/>
        </w:rPr>
      </w:pPr>
    </w:p>
    <w:p w14:paraId="33A598C3" w14:textId="77777777" w:rsidR="002E104A" w:rsidRPr="002E104A" w:rsidRDefault="002E104A" w:rsidP="002E104A">
      <w:pPr>
        <w:autoSpaceDE w:val="0"/>
        <w:autoSpaceDN w:val="0"/>
        <w:adjustRightInd w:val="0"/>
        <w:ind w:left="720"/>
        <w:jc w:val="both"/>
        <w:rPr>
          <w:rFonts w:asciiTheme="minorHAnsi" w:hAnsiTheme="minorHAnsi" w:cs="Courier New"/>
          <w:sz w:val="22"/>
          <w:szCs w:val="22"/>
          <w:lang w:bidi="he-IL"/>
        </w:rPr>
      </w:pPr>
      <w:r w:rsidRPr="002E104A">
        <w:rPr>
          <w:rFonts w:asciiTheme="minorHAnsi" w:hAnsiTheme="minorHAnsi" w:cs="Courier New"/>
          <w:sz w:val="22"/>
          <w:szCs w:val="22"/>
          <w:lang w:bidi="cy"/>
        </w:rPr>
        <w:t xml:space="preserve">(iii) Hawliau a buddiannau eiddo deallusol (e.e., patentau, hawlfreintiau), ar ôl cael incwm sy'n gysylltiedig â hawliau a buddiannau o'r fath. </w:t>
      </w:r>
    </w:p>
    <w:p w14:paraId="72E251CB" w14:textId="77777777" w:rsidR="002E104A" w:rsidRPr="002E104A" w:rsidRDefault="002E104A" w:rsidP="002E104A">
      <w:pPr>
        <w:autoSpaceDE w:val="0"/>
        <w:autoSpaceDN w:val="0"/>
        <w:adjustRightInd w:val="0"/>
        <w:jc w:val="both"/>
        <w:rPr>
          <w:rFonts w:asciiTheme="minorHAnsi" w:hAnsiTheme="minorHAnsi" w:cs="Courier New"/>
          <w:sz w:val="22"/>
          <w:szCs w:val="22"/>
          <w:lang w:bidi="he-IL"/>
        </w:rPr>
      </w:pPr>
    </w:p>
    <w:p w14:paraId="6F68DA98" w14:textId="77777777" w:rsidR="002E104A" w:rsidRPr="002E104A" w:rsidRDefault="002E104A" w:rsidP="002E104A">
      <w:pPr>
        <w:autoSpaceDE w:val="0"/>
        <w:autoSpaceDN w:val="0"/>
        <w:adjustRightInd w:val="0"/>
        <w:jc w:val="both"/>
        <w:rPr>
          <w:rFonts w:asciiTheme="minorHAnsi" w:hAnsiTheme="minorHAnsi" w:cs="Courier New"/>
          <w:sz w:val="22"/>
          <w:szCs w:val="22"/>
          <w:lang w:bidi="he-IL"/>
        </w:rPr>
      </w:pPr>
      <w:r w:rsidRPr="002E104A">
        <w:rPr>
          <w:rFonts w:asciiTheme="minorHAnsi" w:hAnsiTheme="minorHAnsi" w:cs="Courier New"/>
          <w:sz w:val="22"/>
          <w:szCs w:val="22"/>
          <w:lang w:bidi="cy"/>
        </w:rPr>
        <w:t>(2) Rhaid i ymchwilwyr hefyd ddatgelu achosion o unrhyw deithio a ad-delir neu a noddir (h.y., sy'n cael ei dalu ar ran yr Ymchwilydd ac na chaiff ei ad-dalu i'r Ymchwilydd fel na fydd yr union werth ariannol ar gael yn rhwydd), sy'n gysylltiedig â'u cyfrifoldebau sefydliadol; ar yr amod, fodd bynnag, nad yw'r gofyniad datgeliad hwn yn gymwys i deithio a gaiff ei ad-dalu neu ei noddi gan asiantaeth ffederal, gwladwriaethol na lywodraeth leol, Sefydliad addysg uwch fel y'i diffinnir yn 20 U.S.C. 1001(a), ysbyty addysgu academaidd, canolfan feddygol, neu sefydliad ymchwil sy'n gysylltiedig â Sefydliad addysg uwch.  Bydd polisi FCOI y Sefydliad yn nodi manylion y datgeliad hwn, a fydd yn cynnwys, o leiaf, ddiben y daith, pwy yw'r noddwr/trefnydd, y gyrchfan, a'r cyfnod.  Yn unol â pholisi FCOI y Sefydliad, bydd y swyddog(au) sefydliadol yn penderfynu a oes angen rhagor o wybodaeth, gan gynnwys penderfynu ar werth ariannol neu ei ddatgelu, er mwyn penderfynu a yw'r teithio'n gyfystyr â FCOI gyda'r ymchwil a ariennir gan PHS.</w:t>
      </w:r>
    </w:p>
    <w:p w14:paraId="2496F12E" w14:textId="77777777" w:rsidR="002E104A" w:rsidRPr="002E104A" w:rsidRDefault="002E104A" w:rsidP="002E104A">
      <w:pPr>
        <w:autoSpaceDE w:val="0"/>
        <w:autoSpaceDN w:val="0"/>
        <w:adjustRightInd w:val="0"/>
        <w:jc w:val="both"/>
        <w:rPr>
          <w:rFonts w:asciiTheme="minorHAnsi" w:hAnsiTheme="minorHAnsi" w:cs="Courier New"/>
          <w:sz w:val="22"/>
          <w:szCs w:val="22"/>
          <w:lang w:bidi="he-IL"/>
        </w:rPr>
      </w:pPr>
    </w:p>
    <w:p w14:paraId="551A73F6" w14:textId="4DAF4435" w:rsidR="002E104A" w:rsidRPr="00760E4C" w:rsidRDefault="002E104A" w:rsidP="002E104A">
      <w:pPr>
        <w:autoSpaceDE w:val="0"/>
        <w:autoSpaceDN w:val="0"/>
        <w:adjustRightInd w:val="0"/>
        <w:jc w:val="both"/>
        <w:rPr>
          <w:rFonts w:asciiTheme="minorHAnsi" w:hAnsiTheme="minorHAnsi" w:cs="Courier New"/>
          <w:sz w:val="22"/>
          <w:szCs w:val="22"/>
          <w:lang w:bidi="he-IL"/>
        </w:rPr>
      </w:pPr>
      <w:r w:rsidRPr="002E104A">
        <w:rPr>
          <w:rFonts w:asciiTheme="minorHAnsi" w:hAnsiTheme="minorHAnsi" w:cs="Courier New"/>
          <w:sz w:val="22"/>
          <w:szCs w:val="22"/>
          <w:lang w:bidi="cy"/>
        </w:rPr>
        <w:t>(3) Nid yw'r term buddiant ariannol sylweddol yn cynnwys y mathau canlynol o fuddiannau ariannol: cyflog, breindal, neu gydnabyddiaeth arall a delir gan y Sefydliad i'r Ymchwilydd os yw'r Ymchwilydd yn cael ei gyflogi neu ei benodi fel arall gan y Sefydliad ar hyn o bryd, gan gynnwys hawliau eiddo deallusol a ddyrennir i'r Sefydliad a chytundebau i'w rhannu mewn breindal sy'n gysylltiedig â hawliau o'r fath; unrhyw fuddiant berchnogaeth yn y Sefydliad sydd gan yr Ymchwilydd, os yw'r Sefydliad yn sefydliad masnachol neu er elw; incwm o gerbydau buddsoddi, megis cronfeydd cydfuddiannol a chyfrifon ymddeol, cyn belled â nad yw'r Ymchwilydd yn rheoli'r penderfyniadau buddsoddi a wneir yn y cerbydau hyn yn uniongyrchol; incwm o seminarau, darlithoedd neu ddigwyddiadau addysgu a noddir gan asiantaeth ffederal, gwladwriaethol neu lywodraeth leol, Sefydliad addysg uwch fel y'i diffinnir yn 20 U.S.C. 1001(a), ysbyty addysgu academaidd, canolfan feddygol, neu sefydliad ymchwil sy'n gysylltiedig â Sefydliad addysg uwch; neu incwm o wasanaeth ar bwyllgorau cynghori neu baneli adolygu ar gyfer asiantaeth ffederal, wladol neu lywodraeth leol, Sefydliad addysg uwch fel y'i diffinnir yn 20 U.S.C. 1001(a), ysbyty addysgu academaidd, canolfan feddygol, neu sefydliad ymchwil sy'n gysylltiedig â Sefydliad addysg uwch."</w:t>
      </w:r>
    </w:p>
    <w:p w14:paraId="36AF68EE" w14:textId="77777777" w:rsidR="002E104A" w:rsidRDefault="002E104A" w:rsidP="006A1E2D">
      <w:pPr>
        <w:jc w:val="both"/>
        <w:rPr>
          <w:rFonts w:asciiTheme="minorHAnsi" w:hAnsiTheme="minorHAnsi"/>
          <w:sz w:val="22"/>
          <w:szCs w:val="22"/>
        </w:rPr>
      </w:pPr>
    </w:p>
    <w:p w14:paraId="44EFCA58" w14:textId="236361E6" w:rsidR="006A1E2D" w:rsidRDefault="006A1E2D" w:rsidP="006A1E2D">
      <w:pPr>
        <w:jc w:val="both"/>
        <w:rPr>
          <w:rFonts w:asciiTheme="minorHAnsi" w:hAnsiTheme="minorHAnsi"/>
          <w:sz w:val="22"/>
          <w:szCs w:val="22"/>
        </w:rPr>
      </w:pPr>
      <w:r>
        <w:rPr>
          <w:rFonts w:asciiTheme="minorHAnsi" w:hAnsiTheme="minorHAnsi"/>
          <w:sz w:val="22"/>
          <w:szCs w:val="22"/>
          <w:lang w:bidi="cy"/>
        </w:rPr>
        <w:t xml:space="preserve">I gael rhagor o ddiffiniadau, gweler Adran D o Gwestiynau Cyffredin NIH: </w:t>
      </w:r>
    </w:p>
    <w:p w14:paraId="3E326776" w14:textId="77777777" w:rsidR="006A1E2D" w:rsidRDefault="00750B8C" w:rsidP="006A1E2D">
      <w:pPr>
        <w:jc w:val="both"/>
        <w:rPr>
          <w:rFonts w:asciiTheme="minorHAnsi" w:hAnsiTheme="minorHAnsi"/>
          <w:sz w:val="22"/>
          <w:szCs w:val="22"/>
        </w:rPr>
      </w:pPr>
      <w:hyperlink r:id="rId10" w:anchor="/financial-conflict-of-interest.htm?anchor=question53049" w:history="1">
        <w:r w:rsidR="006A1E2D" w:rsidRPr="00FF0C65">
          <w:rPr>
            <w:rStyle w:val="Hyperlink"/>
            <w:rFonts w:asciiTheme="minorHAnsi" w:hAnsiTheme="minorHAnsi"/>
            <w:sz w:val="22"/>
            <w:szCs w:val="22"/>
            <w:lang w:bidi="cy"/>
          </w:rPr>
          <w:t>https://grants.nih.gov/faqs#/financial-conflict-of-interest.htm?anchor=question53049</w:t>
        </w:r>
      </w:hyperlink>
    </w:p>
    <w:p w14:paraId="2EB7FD60" w14:textId="77777777" w:rsidR="006A1E2D" w:rsidRPr="008D323E" w:rsidRDefault="006A1E2D" w:rsidP="006A1E2D">
      <w:pPr>
        <w:jc w:val="both"/>
        <w:rPr>
          <w:rFonts w:asciiTheme="minorHAnsi" w:hAnsiTheme="minorHAnsi"/>
          <w:sz w:val="22"/>
          <w:szCs w:val="22"/>
        </w:rPr>
      </w:pPr>
    </w:p>
    <w:p w14:paraId="7D16882E" w14:textId="445AB9B8" w:rsidR="006A1E2D" w:rsidRPr="00C67AB8" w:rsidRDefault="00C67AB8" w:rsidP="006A1E2D">
      <w:pPr>
        <w:autoSpaceDE w:val="0"/>
        <w:autoSpaceDN w:val="0"/>
        <w:adjustRightInd w:val="0"/>
        <w:jc w:val="both"/>
        <w:rPr>
          <w:rFonts w:asciiTheme="minorHAnsi" w:hAnsiTheme="minorHAnsi" w:cs="Courier New"/>
          <w:b/>
          <w:bCs/>
          <w:sz w:val="22"/>
          <w:szCs w:val="22"/>
          <w:lang w:bidi="he-IL"/>
        </w:rPr>
      </w:pPr>
      <w:r w:rsidRPr="00C67AB8">
        <w:rPr>
          <w:rFonts w:asciiTheme="minorHAnsi" w:hAnsiTheme="minorHAnsi" w:cs="Courier New"/>
          <w:b/>
          <w:sz w:val="22"/>
          <w:szCs w:val="22"/>
          <w:lang w:bidi="cy"/>
        </w:rPr>
        <w:t>Cyfrifoldebau'r Ymchwilydd</w:t>
      </w:r>
    </w:p>
    <w:p w14:paraId="58838041" w14:textId="2F0FC3B6" w:rsidR="000E3A6A" w:rsidRPr="000E3A6A" w:rsidRDefault="000E3A6A" w:rsidP="006A1E2D">
      <w:pPr>
        <w:autoSpaceDE w:val="0"/>
        <w:autoSpaceDN w:val="0"/>
        <w:adjustRightInd w:val="0"/>
        <w:jc w:val="both"/>
        <w:rPr>
          <w:rFonts w:asciiTheme="minorHAnsi" w:hAnsiTheme="minorHAnsi" w:cs="Courier New"/>
          <w:b/>
          <w:bCs/>
          <w:i/>
          <w:iCs/>
          <w:sz w:val="22"/>
          <w:szCs w:val="22"/>
          <w:lang w:bidi="he-IL"/>
        </w:rPr>
      </w:pPr>
      <w:r w:rsidRPr="000E3A6A">
        <w:rPr>
          <w:rFonts w:asciiTheme="minorHAnsi" w:hAnsiTheme="minorHAnsi" w:cs="Courier New"/>
          <w:b/>
          <w:i/>
          <w:sz w:val="22"/>
          <w:szCs w:val="22"/>
          <w:lang w:bidi="cy"/>
        </w:rPr>
        <w:t>Hyfforddiant</w:t>
      </w:r>
    </w:p>
    <w:p w14:paraId="67939D43" w14:textId="01774AF6" w:rsidR="00C67AB8" w:rsidRDefault="00C67AB8" w:rsidP="006A1E2D">
      <w:pPr>
        <w:autoSpaceDE w:val="0"/>
        <w:autoSpaceDN w:val="0"/>
        <w:adjustRightInd w:val="0"/>
        <w:jc w:val="both"/>
        <w:rPr>
          <w:rFonts w:asciiTheme="minorHAnsi" w:hAnsiTheme="minorHAnsi" w:cs="Courier New"/>
          <w:sz w:val="22"/>
          <w:szCs w:val="22"/>
          <w:lang w:bidi="he-IL"/>
        </w:rPr>
      </w:pPr>
      <w:r>
        <w:rPr>
          <w:rFonts w:asciiTheme="minorHAnsi" w:hAnsiTheme="minorHAnsi" w:cs="Courier New"/>
          <w:sz w:val="22"/>
          <w:szCs w:val="22"/>
          <w:lang w:bidi="cy"/>
        </w:rPr>
        <w:t>Rhaid i bob ymchwilydd sy'n cael cyllid NIH gwblhau Hyfforddiant Gonestrwydd Ymchwil y Brifysgol (sy'n cynnwys adran ar Wrthdaro Buddiannau Ariannol) pan fyddant yn dechrau gweithio gyda'r Brifysgol a chyn cymryd rhan mewn unrhyw ymchwil.  Rhaid i unrhyw ymchwilydd sy'n cymryd rhan mewn ymchwil sy'n ymwneud â grantiau a ariennir gan PHS gyflawni hyfforddiant o leiaf bob 4 blynedd.</w:t>
      </w:r>
    </w:p>
    <w:p w14:paraId="14850316" w14:textId="57A04C43" w:rsidR="00312703" w:rsidRDefault="00312703" w:rsidP="006A1E2D">
      <w:pPr>
        <w:autoSpaceDE w:val="0"/>
        <w:autoSpaceDN w:val="0"/>
        <w:adjustRightInd w:val="0"/>
        <w:jc w:val="both"/>
        <w:rPr>
          <w:rFonts w:asciiTheme="minorHAnsi" w:hAnsiTheme="minorHAnsi" w:cs="Courier New"/>
          <w:sz w:val="22"/>
          <w:szCs w:val="22"/>
          <w:lang w:bidi="he-IL"/>
        </w:rPr>
      </w:pPr>
    </w:p>
    <w:p w14:paraId="3B9A95FC" w14:textId="035BB47F" w:rsidR="000E3A6A" w:rsidRPr="000E3A6A" w:rsidRDefault="000E3A6A" w:rsidP="006A1E2D">
      <w:pPr>
        <w:autoSpaceDE w:val="0"/>
        <w:autoSpaceDN w:val="0"/>
        <w:adjustRightInd w:val="0"/>
        <w:jc w:val="both"/>
        <w:rPr>
          <w:rFonts w:asciiTheme="minorHAnsi" w:hAnsiTheme="minorHAnsi" w:cs="Courier New"/>
          <w:b/>
          <w:bCs/>
          <w:i/>
          <w:iCs/>
          <w:sz w:val="22"/>
          <w:szCs w:val="22"/>
          <w:lang w:bidi="he-IL"/>
        </w:rPr>
      </w:pPr>
      <w:r>
        <w:rPr>
          <w:rFonts w:asciiTheme="minorHAnsi" w:hAnsiTheme="minorHAnsi" w:cs="Courier New"/>
          <w:b/>
          <w:i/>
          <w:sz w:val="22"/>
          <w:szCs w:val="22"/>
          <w:lang w:bidi="cy"/>
        </w:rPr>
        <w:t>Datgeliad</w:t>
      </w:r>
    </w:p>
    <w:p w14:paraId="5CDC065A" w14:textId="1108A39B" w:rsidR="00312703" w:rsidRDefault="00312703" w:rsidP="00E50424">
      <w:pPr>
        <w:autoSpaceDE w:val="0"/>
        <w:autoSpaceDN w:val="0"/>
        <w:adjustRightInd w:val="0"/>
        <w:jc w:val="both"/>
        <w:rPr>
          <w:rFonts w:asciiTheme="minorHAnsi" w:hAnsiTheme="minorHAnsi" w:cs="Courier New"/>
          <w:sz w:val="22"/>
          <w:szCs w:val="22"/>
          <w:lang w:bidi="he-IL"/>
        </w:rPr>
      </w:pPr>
      <w:r w:rsidRPr="00312703">
        <w:rPr>
          <w:rFonts w:asciiTheme="minorHAnsi" w:hAnsiTheme="minorHAnsi" w:cs="Courier New"/>
          <w:sz w:val="22"/>
          <w:szCs w:val="22"/>
          <w:lang w:bidi="cy"/>
        </w:rPr>
        <w:t>Rhaid i ymchwilwyr ddatgelu i'w sefydliadau bob blwyddyn eu holl fuddiannau ariannol sylweddol (a rhai priod a phlant dibynnol yr Ymchwilydd) sy'n gysylltiedig â'u cyfrifoldebau sefydliadol. Nid oes angen i fuddiant ariannol sylweddol o reidrwydd gynrychioli achosion o wrthdaro buddiannau ariannol, ond rhaid i'r ymchwilydd ei ddatgelu i bennaeth yr adran neu gyfadran berthnasol i benderfynu a yw hyn yn cyflwyno unrhyw achos o wrthdaro buddiannau posibl y mae angen rhoi gwybod i'r NIH amdano.</w:t>
      </w:r>
    </w:p>
    <w:p w14:paraId="21F94C4C" w14:textId="73F0D4CD" w:rsidR="00312703" w:rsidRDefault="00312703" w:rsidP="006A1E2D">
      <w:pPr>
        <w:autoSpaceDE w:val="0"/>
        <w:autoSpaceDN w:val="0"/>
        <w:adjustRightInd w:val="0"/>
        <w:jc w:val="both"/>
        <w:rPr>
          <w:rFonts w:asciiTheme="minorHAnsi" w:hAnsiTheme="minorHAnsi" w:cs="Courier New"/>
          <w:sz w:val="22"/>
          <w:szCs w:val="22"/>
          <w:lang w:bidi="he-IL"/>
        </w:rPr>
      </w:pPr>
    </w:p>
    <w:p w14:paraId="245DB321" w14:textId="77777777" w:rsidR="00E50424" w:rsidRDefault="00312703" w:rsidP="006A1E2D">
      <w:pPr>
        <w:autoSpaceDE w:val="0"/>
        <w:autoSpaceDN w:val="0"/>
        <w:adjustRightInd w:val="0"/>
        <w:jc w:val="both"/>
        <w:rPr>
          <w:rFonts w:asciiTheme="minorHAnsi" w:hAnsiTheme="minorHAnsi" w:cs="Courier New"/>
          <w:sz w:val="22"/>
          <w:szCs w:val="22"/>
          <w:lang w:bidi="he-IL"/>
        </w:rPr>
      </w:pPr>
      <w:r>
        <w:rPr>
          <w:rFonts w:asciiTheme="minorHAnsi" w:hAnsiTheme="minorHAnsi" w:cs="Courier New"/>
          <w:sz w:val="22"/>
          <w:szCs w:val="22"/>
          <w:lang w:bidi="cy"/>
        </w:rPr>
        <w:t>I ddechrau, dylid gwneud datganiad o 'fuddiant ariannol sylweddol' i Bennaeth Adran neu Ysgol yr Ymchwilydd (neu yn achos Pennaeth Adran neu Ysgol, i COO neu PVC y Coleg) drwy'r ffurflen datganiad o fuddiant. Mae’n rhaid gwneud hyn:</w:t>
      </w:r>
    </w:p>
    <w:p w14:paraId="5B0F1E74" w14:textId="7F4185D5" w:rsidR="00E50424" w:rsidRDefault="00E50424" w:rsidP="00E50424">
      <w:pPr>
        <w:pStyle w:val="ListParagraph"/>
        <w:numPr>
          <w:ilvl w:val="0"/>
          <w:numId w:val="14"/>
        </w:numPr>
        <w:autoSpaceDE w:val="0"/>
        <w:autoSpaceDN w:val="0"/>
        <w:adjustRightInd w:val="0"/>
        <w:jc w:val="both"/>
        <w:rPr>
          <w:rFonts w:asciiTheme="minorHAnsi" w:hAnsiTheme="minorHAnsi" w:cs="Courier New"/>
          <w:sz w:val="22"/>
          <w:szCs w:val="22"/>
          <w:lang w:bidi="he-IL"/>
        </w:rPr>
      </w:pPr>
      <w:r>
        <w:rPr>
          <w:rFonts w:asciiTheme="minorHAnsi" w:hAnsiTheme="minorHAnsi" w:cs="Courier New"/>
          <w:sz w:val="22"/>
          <w:szCs w:val="22"/>
          <w:lang w:bidi="cy"/>
        </w:rPr>
        <w:t>cyn cyflwyno'r cais am ymchwil a ariennir gan PHS</w:t>
      </w:r>
    </w:p>
    <w:p w14:paraId="3F7D1666" w14:textId="77777777" w:rsidR="00E50424" w:rsidRDefault="00E50424" w:rsidP="00E50424">
      <w:pPr>
        <w:pStyle w:val="ListParagraph"/>
        <w:numPr>
          <w:ilvl w:val="0"/>
          <w:numId w:val="14"/>
        </w:numPr>
        <w:autoSpaceDE w:val="0"/>
        <w:autoSpaceDN w:val="0"/>
        <w:adjustRightInd w:val="0"/>
        <w:jc w:val="both"/>
        <w:rPr>
          <w:rFonts w:asciiTheme="minorHAnsi" w:hAnsiTheme="minorHAnsi" w:cs="Courier New"/>
          <w:sz w:val="22"/>
          <w:szCs w:val="22"/>
          <w:lang w:bidi="he-IL"/>
        </w:rPr>
      </w:pPr>
      <w:r>
        <w:rPr>
          <w:rFonts w:asciiTheme="minorHAnsi" w:hAnsiTheme="minorHAnsi" w:cs="Courier New"/>
          <w:sz w:val="22"/>
          <w:szCs w:val="22"/>
          <w:lang w:bidi="cy"/>
        </w:rPr>
        <w:t>O leiaf unwaith y flwyddyn yn ystod cyfnod y dyfarniad</w:t>
      </w:r>
    </w:p>
    <w:p w14:paraId="7920AA77" w14:textId="3FC3372F" w:rsidR="00312703" w:rsidRDefault="00E50424" w:rsidP="00E50424">
      <w:pPr>
        <w:pStyle w:val="ListParagraph"/>
        <w:numPr>
          <w:ilvl w:val="0"/>
          <w:numId w:val="14"/>
        </w:numPr>
        <w:autoSpaceDE w:val="0"/>
        <w:autoSpaceDN w:val="0"/>
        <w:adjustRightInd w:val="0"/>
        <w:jc w:val="both"/>
        <w:rPr>
          <w:rFonts w:asciiTheme="minorHAnsi" w:hAnsiTheme="minorHAnsi" w:cs="Courier New"/>
          <w:sz w:val="22"/>
          <w:szCs w:val="22"/>
          <w:lang w:bidi="he-IL"/>
        </w:rPr>
      </w:pPr>
      <w:r>
        <w:rPr>
          <w:rFonts w:asciiTheme="minorHAnsi" w:hAnsiTheme="minorHAnsi" w:cs="Courier New"/>
          <w:sz w:val="22"/>
          <w:szCs w:val="22"/>
          <w:lang w:bidi="cy"/>
        </w:rPr>
        <w:t xml:space="preserve">O fewn 30 diwrnod i ddarganfod neu gael buddiant ariannol sylweddol newydd </w:t>
      </w:r>
    </w:p>
    <w:p w14:paraId="6C3D695E" w14:textId="379BDADD" w:rsidR="000E3A6A" w:rsidRPr="000E3A6A" w:rsidRDefault="000E3A6A" w:rsidP="000E3A6A">
      <w:pPr>
        <w:rPr>
          <w:rFonts w:asciiTheme="minorHAnsi" w:hAnsiTheme="minorHAnsi" w:cstheme="minorHAnsi"/>
          <w:sz w:val="22"/>
          <w:szCs w:val="22"/>
        </w:rPr>
      </w:pPr>
      <w:r w:rsidRPr="000E3A6A">
        <w:rPr>
          <w:rFonts w:asciiTheme="minorHAnsi" w:hAnsiTheme="minorHAnsi" w:cstheme="minorHAnsi"/>
          <w:sz w:val="22"/>
          <w:szCs w:val="22"/>
          <w:lang w:bidi="cy"/>
        </w:rPr>
        <w:t xml:space="preserve">Mae'r ffurflen datganiad ar gael yn atodiad 1. </w:t>
      </w:r>
    </w:p>
    <w:p w14:paraId="788D6AE3" w14:textId="644A8F22" w:rsidR="00312703" w:rsidRDefault="00312703" w:rsidP="006A1E2D">
      <w:pPr>
        <w:autoSpaceDE w:val="0"/>
        <w:autoSpaceDN w:val="0"/>
        <w:adjustRightInd w:val="0"/>
        <w:jc w:val="both"/>
        <w:rPr>
          <w:rFonts w:asciiTheme="minorHAnsi" w:hAnsiTheme="minorHAnsi" w:cs="Courier New"/>
          <w:sz w:val="22"/>
          <w:szCs w:val="22"/>
          <w:lang w:bidi="he-IL"/>
        </w:rPr>
      </w:pPr>
    </w:p>
    <w:p w14:paraId="1B61F12F" w14:textId="4B63CC19" w:rsidR="00312703" w:rsidRDefault="00312703" w:rsidP="006A1E2D">
      <w:pPr>
        <w:autoSpaceDE w:val="0"/>
        <w:autoSpaceDN w:val="0"/>
        <w:adjustRightInd w:val="0"/>
        <w:jc w:val="both"/>
        <w:rPr>
          <w:rFonts w:asciiTheme="minorHAnsi" w:hAnsiTheme="minorHAnsi" w:cs="Courier New"/>
          <w:sz w:val="22"/>
          <w:szCs w:val="22"/>
          <w:lang w:bidi="he-IL"/>
        </w:rPr>
      </w:pPr>
      <w:r>
        <w:rPr>
          <w:rFonts w:asciiTheme="minorHAnsi" w:hAnsiTheme="minorHAnsi" w:cs="Courier New"/>
          <w:sz w:val="22"/>
          <w:szCs w:val="22"/>
          <w:lang w:bidi="cy"/>
        </w:rPr>
        <w:t>Pan nodir achos o wrthdaro a chytunir ar gynllun rheoli gyda'r NIH, rhaid i'r Ymchwilydd gynhyrchu diweddariadau blynyddol ar sut mae'r gwrthdaro'n cael ei reoli</w:t>
      </w:r>
    </w:p>
    <w:p w14:paraId="73A85A91" w14:textId="1CA7738D" w:rsidR="00312703" w:rsidRDefault="00312703" w:rsidP="006A1E2D">
      <w:pPr>
        <w:autoSpaceDE w:val="0"/>
        <w:autoSpaceDN w:val="0"/>
        <w:adjustRightInd w:val="0"/>
        <w:jc w:val="both"/>
        <w:rPr>
          <w:rFonts w:asciiTheme="minorHAnsi" w:hAnsiTheme="minorHAnsi" w:cs="Courier New"/>
          <w:sz w:val="22"/>
          <w:szCs w:val="22"/>
          <w:lang w:bidi="he-IL"/>
        </w:rPr>
      </w:pPr>
    </w:p>
    <w:p w14:paraId="5F08B0FA" w14:textId="4A54AF23" w:rsidR="00312703" w:rsidRPr="00F520F8" w:rsidRDefault="00312703" w:rsidP="006A1E2D">
      <w:pPr>
        <w:autoSpaceDE w:val="0"/>
        <w:autoSpaceDN w:val="0"/>
        <w:adjustRightInd w:val="0"/>
        <w:jc w:val="both"/>
        <w:rPr>
          <w:rFonts w:asciiTheme="minorHAnsi" w:hAnsiTheme="minorHAnsi" w:cs="Courier New"/>
          <w:sz w:val="22"/>
          <w:szCs w:val="22"/>
          <w:lang w:bidi="he-IL"/>
        </w:rPr>
      </w:pPr>
      <w:r w:rsidRPr="00312703">
        <w:rPr>
          <w:rFonts w:asciiTheme="minorHAnsi" w:hAnsiTheme="minorHAnsi" w:cs="Courier New"/>
          <w:sz w:val="22"/>
          <w:szCs w:val="22"/>
          <w:lang w:bidi="cy"/>
        </w:rPr>
        <w:t>Hefyd, mae'n ofynnol i ymchwilwyr a ariennir gan NIH ymgyfarwyddo â pholisi'r Brifysgol ar wrthdaro buddiannau.</w:t>
      </w:r>
    </w:p>
    <w:p w14:paraId="21DFF97C" w14:textId="2872E011" w:rsidR="00312703" w:rsidRDefault="00312703" w:rsidP="00D76992">
      <w:pPr>
        <w:jc w:val="both"/>
        <w:rPr>
          <w:rFonts w:asciiTheme="minorHAnsi" w:hAnsiTheme="minorHAnsi" w:cs="Arial"/>
          <w:b/>
          <w:color w:val="292526"/>
          <w:sz w:val="22"/>
          <w:szCs w:val="22"/>
          <w:lang w:bidi="he-IL"/>
        </w:rPr>
      </w:pPr>
    </w:p>
    <w:p w14:paraId="679DF8AE" w14:textId="05DE9B98" w:rsidR="00312703" w:rsidRDefault="00312703" w:rsidP="00312703">
      <w:pPr>
        <w:autoSpaceDE w:val="0"/>
        <w:autoSpaceDN w:val="0"/>
        <w:adjustRightInd w:val="0"/>
        <w:jc w:val="both"/>
        <w:rPr>
          <w:rFonts w:asciiTheme="minorHAnsi" w:hAnsiTheme="minorHAnsi" w:cs="Courier New"/>
          <w:b/>
          <w:bCs/>
          <w:sz w:val="22"/>
          <w:szCs w:val="22"/>
          <w:lang w:bidi="he-IL"/>
        </w:rPr>
      </w:pPr>
      <w:r w:rsidRPr="00C67AB8">
        <w:rPr>
          <w:rFonts w:asciiTheme="minorHAnsi" w:hAnsiTheme="minorHAnsi" w:cs="Courier New"/>
          <w:b/>
          <w:sz w:val="22"/>
          <w:szCs w:val="22"/>
          <w:lang w:bidi="cy"/>
        </w:rPr>
        <w:t>Cyfrifoldebau'r Brifysgol</w:t>
      </w:r>
    </w:p>
    <w:p w14:paraId="4C7A30EB" w14:textId="50732BE1" w:rsidR="000E3A6A" w:rsidRPr="000E3A6A" w:rsidRDefault="000E3A6A" w:rsidP="00312703">
      <w:pPr>
        <w:autoSpaceDE w:val="0"/>
        <w:autoSpaceDN w:val="0"/>
        <w:adjustRightInd w:val="0"/>
        <w:jc w:val="both"/>
        <w:rPr>
          <w:rFonts w:asciiTheme="minorHAnsi" w:hAnsiTheme="minorHAnsi" w:cs="Courier New"/>
          <w:b/>
          <w:bCs/>
          <w:i/>
          <w:iCs/>
          <w:sz w:val="22"/>
          <w:szCs w:val="22"/>
          <w:lang w:bidi="he-IL"/>
        </w:rPr>
      </w:pPr>
      <w:r>
        <w:rPr>
          <w:rFonts w:asciiTheme="minorHAnsi" w:hAnsiTheme="minorHAnsi" w:cs="Courier New"/>
          <w:b/>
          <w:i/>
          <w:sz w:val="22"/>
          <w:szCs w:val="22"/>
          <w:lang w:bidi="cy"/>
        </w:rPr>
        <w:t>Rheoli Buddiannau Ariannol Sylweddol a Rhoi Gwybod Amdanynt</w:t>
      </w:r>
    </w:p>
    <w:p w14:paraId="4803D4A2" w14:textId="70281352" w:rsidR="00312703" w:rsidRDefault="00E50424" w:rsidP="00312703">
      <w:pPr>
        <w:autoSpaceDE w:val="0"/>
        <w:autoSpaceDN w:val="0"/>
        <w:adjustRightInd w:val="0"/>
        <w:jc w:val="both"/>
        <w:rPr>
          <w:rFonts w:asciiTheme="minorHAnsi" w:hAnsiTheme="minorHAnsi" w:cs="Courier New"/>
          <w:sz w:val="22"/>
          <w:szCs w:val="22"/>
          <w:lang w:bidi="he-IL"/>
        </w:rPr>
      </w:pPr>
      <w:r>
        <w:rPr>
          <w:rFonts w:asciiTheme="minorHAnsi" w:hAnsiTheme="minorHAnsi" w:cs="Courier New"/>
          <w:sz w:val="22"/>
          <w:szCs w:val="22"/>
          <w:lang w:bidi="cy"/>
        </w:rPr>
        <w:t xml:space="preserve">Pan ddatgelir buddiant ariannol sylweddol, dylai Pennaeth yr Adran/Ysgol adolygu'r datganiad a gwerthuso a allai arwain at achos o wrthdaro buddiannau ariannol. Pan benderfynir y gallai gwrthdaro buddiannau ariannol fodoli dylid cyfeirio’r achos at Ysgrifennydd y Brifysgol ynghyd â chynllun ar gyfer sut y gellir lleihau, dileu neu reoli'r achos o wrthdaro. Yna, bydd Ysgrifennydd y Brifysgol yn cysylltu â'r Gwasanaethau Ymchwil ac Arloesi, a fydd yn cyflwyno'r cynllun i'r NIH drwy eu modiwl gwrthdaro buddiannau ariannol Cyffredin Gweinyddu Ymchwil (eRA) electronig. </w:t>
      </w:r>
    </w:p>
    <w:p w14:paraId="78643B56" w14:textId="38455B23" w:rsidR="001918E5" w:rsidRDefault="001918E5" w:rsidP="00312703">
      <w:pPr>
        <w:autoSpaceDE w:val="0"/>
        <w:autoSpaceDN w:val="0"/>
        <w:adjustRightInd w:val="0"/>
        <w:jc w:val="both"/>
        <w:rPr>
          <w:rFonts w:asciiTheme="minorHAnsi" w:hAnsiTheme="minorHAnsi" w:cs="Courier New"/>
          <w:sz w:val="22"/>
          <w:szCs w:val="22"/>
          <w:lang w:bidi="he-IL"/>
        </w:rPr>
      </w:pPr>
    </w:p>
    <w:p w14:paraId="57C62228" w14:textId="5B33657B" w:rsidR="001918E5" w:rsidRDefault="001918E5" w:rsidP="00312703">
      <w:pPr>
        <w:autoSpaceDE w:val="0"/>
        <w:autoSpaceDN w:val="0"/>
        <w:adjustRightInd w:val="0"/>
        <w:jc w:val="both"/>
        <w:rPr>
          <w:rFonts w:asciiTheme="minorHAnsi" w:hAnsiTheme="minorHAnsi" w:cs="Courier New"/>
          <w:sz w:val="22"/>
          <w:szCs w:val="22"/>
          <w:lang w:bidi="he-IL"/>
        </w:rPr>
      </w:pPr>
      <w:r>
        <w:rPr>
          <w:rFonts w:asciiTheme="minorHAnsi" w:hAnsiTheme="minorHAnsi" w:cs="Courier New"/>
          <w:sz w:val="22"/>
          <w:szCs w:val="22"/>
          <w:lang w:bidi="cy"/>
        </w:rPr>
        <w:t>Bydd y Brifysgol yn rhoi gwybod i'r NIH am unrhyw wrthdaro buddiannau ariannol:</w:t>
      </w:r>
    </w:p>
    <w:p w14:paraId="5DC8FFD1" w14:textId="69C2DE42" w:rsidR="001918E5" w:rsidRDefault="001918E5" w:rsidP="001918E5">
      <w:pPr>
        <w:pStyle w:val="ListParagraph"/>
        <w:numPr>
          <w:ilvl w:val="0"/>
          <w:numId w:val="15"/>
        </w:numPr>
        <w:autoSpaceDE w:val="0"/>
        <w:autoSpaceDN w:val="0"/>
        <w:adjustRightInd w:val="0"/>
        <w:jc w:val="both"/>
        <w:rPr>
          <w:rFonts w:asciiTheme="minorHAnsi" w:hAnsiTheme="minorHAnsi" w:cs="Courier New"/>
          <w:sz w:val="22"/>
          <w:szCs w:val="22"/>
          <w:lang w:bidi="he-IL"/>
        </w:rPr>
      </w:pPr>
      <w:r>
        <w:rPr>
          <w:rFonts w:asciiTheme="minorHAnsi" w:hAnsiTheme="minorHAnsi" w:cs="Courier New"/>
          <w:sz w:val="22"/>
          <w:szCs w:val="22"/>
          <w:lang w:bidi="cy"/>
        </w:rPr>
        <w:t>Cyn gwario’r cyllid</w:t>
      </w:r>
    </w:p>
    <w:p w14:paraId="73D57CC4" w14:textId="1E7C2025" w:rsidR="001918E5" w:rsidRDefault="001918E5" w:rsidP="001918E5">
      <w:pPr>
        <w:pStyle w:val="ListParagraph"/>
        <w:numPr>
          <w:ilvl w:val="0"/>
          <w:numId w:val="15"/>
        </w:numPr>
        <w:autoSpaceDE w:val="0"/>
        <w:autoSpaceDN w:val="0"/>
        <w:adjustRightInd w:val="0"/>
        <w:jc w:val="both"/>
        <w:rPr>
          <w:rFonts w:asciiTheme="minorHAnsi" w:hAnsiTheme="minorHAnsi" w:cs="Courier New"/>
          <w:sz w:val="22"/>
          <w:szCs w:val="22"/>
          <w:lang w:bidi="he-IL"/>
        </w:rPr>
      </w:pPr>
      <w:r>
        <w:rPr>
          <w:rFonts w:asciiTheme="minorHAnsi" w:hAnsiTheme="minorHAnsi" w:cs="Courier New"/>
          <w:sz w:val="22"/>
          <w:szCs w:val="22"/>
          <w:lang w:bidi="cy"/>
        </w:rPr>
        <w:t>O fewn 60 diwrnod o nodi’r achos ar gyfer Ymchwilydd sydd newydd gymryd rhan yn y prosiect yn ddiweddar</w:t>
      </w:r>
    </w:p>
    <w:p w14:paraId="1AE9EE35" w14:textId="1CBC3EEE" w:rsidR="001918E5" w:rsidRDefault="001918E5" w:rsidP="001918E5">
      <w:pPr>
        <w:pStyle w:val="ListParagraph"/>
        <w:numPr>
          <w:ilvl w:val="0"/>
          <w:numId w:val="15"/>
        </w:numPr>
        <w:autoSpaceDE w:val="0"/>
        <w:autoSpaceDN w:val="0"/>
        <w:adjustRightInd w:val="0"/>
        <w:jc w:val="both"/>
        <w:rPr>
          <w:rFonts w:asciiTheme="minorHAnsi" w:hAnsiTheme="minorHAnsi" w:cs="Courier New"/>
          <w:sz w:val="22"/>
          <w:szCs w:val="22"/>
          <w:lang w:bidi="he-IL"/>
        </w:rPr>
      </w:pPr>
      <w:r w:rsidRPr="001918E5">
        <w:rPr>
          <w:rFonts w:asciiTheme="minorHAnsi" w:hAnsiTheme="minorHAnsi" w:cs="Courier New"/>
          <w:sz w:val="22"/>
          <w:szCs w:val="22"/>
          <w:lang w:bidi="cy"/>
        </w:rPr>
        <w:t>O fewn 60 diwrnod ar gyfer FCOIs newydd, neu newydd eu nodi, ar gyfer Ymchwilwyr presennol</w:t>
      </w:r>
    </w:p>
    <w:p w14:paraId="7CC6ED00" w14:textId="0363BCAC" w:rsidR="001918E5" w:rsidRDefault="001918E5" w:rsidP="001918E5">
      <w:pPr>
        <w:pStyle w:val="ListParagraph"/>
        <w:numPr>
          <w:ilvl w:val="0"/>
          <w:numId w:val="15"/>
        </w:numPr>
        <w:autoSpaceDE w:val="0"/>
        <w:autoSpaceDN w:val="0"/>
        <w:adjustRightInd w:val="0"/>
        <w:jc w:val="both"/>
        <w:rPr>
          <w:rFonts w:asciiTheme="minorHAnsi" w:hAnsiTheme="minorHAnsi" w:cs="Courier New"/>
          <w:sz w:val="22"/>
          <w:szCs w:val="22"/>
          <w:lang w:bidi="he-IL"/>
        </w:rPr>
      </w:pPr>
      <w:r w:rsidRPr="001918E5">
        <w:rPr>
          <w:rFonts w:asciiTheme="minorHAnsi" w:hAnsiTheme="minorHAnsi" w:cs="Courier New"/>
          <w:sz w:val="22"/>
          <w:szCs w:val="22"/>
          <w:lang w:bidi="cy"/>
        </w:rPr>
        <w:t>O leiaf unwaith y flwyddyn (ar yr un pryd â phan fo'n ofynnol i'r Sefydliad gyflwyno'r adroddiad cynnydd blynyddol, adroddiad cynnydd aml-flwyddyn, os yw'n berthnasol, neu ar adeg yr estyniad) i ddarparu statws FCOI ac unrhyw newidiadau i'r cynllun rheoli, os yw'n berthnasol, nes caiff y prosiect ei gwblhau.</w:t>
      </w:r>
    </w:p>
    <w:p w14:paraId="2449B601" w14:textId="0C7397AA" w:rsidR="001918E5" w:rsidRPr="001918E5" w:rsidRDefault="001918E5" w:rsidP="001918E5">
      <w:pPr>
        <w:pStyle w:val="ListParagraph"/>
        <w:numPr>
          <w:ilvl w:val="0"/>
          <w:numId w:val="15"/>
        </w:numPr>
        <w:autoSpaceDE w:val="0"/>
        <w:autoSpaceDN w:val="0"/>
        <w:adjustRightInd w:val="0"/>
        <w:jc w:val="both"/>
        <w:rPr>
          <w:rFonts w:asciiTheme="minorHAnsi" w:hAnsiTheme="minorHAnsi" w:cs="Courier New"/>
          <w:sz w:val="22"/>
          <w:szCs w:val="22"/>
          <w:lang w:bidi="he-IL"/>
        </w:rPr>
      </w:pPr>
      <w:r w:rsidRPr="001918E5">
        <w:rPr>
          <w:rFonts w:asciiTheme="minorHAnsi" w:hAnsiTheme="minorHAnsi" w:cs="Courier New"/>
          <w:sz w:val="22"/>
          <w:szCs w:val="22"/>
          <w:lang w:bidi="cy"/>
        </w:rPr>
        <w:t>Yn dilyn adolygiad ôl-weithredol i ddiweddaru adroddiad a gyflwynwyd yn flaenorol, os yw'n briodol.</w:t>
      </w:r>
    </w:p>
    <w:p w14:paraId="78A65642" w14:textId="2048276D" w:rsidR="00C47C6B" w:rsidRDefault="00C47C6B" w:rsidP="00312703">
      <w:pPr>
        <w:autoSpaceDE w:val="0"/>
        <w:autoSpaceDN w:val="0"/>
        <w:adjustRightInd w:val="0"/>
        <w:jc w:val="both"/>
        <w:rPr>
          <w:rFonts w:asciiTheme="minorHAnsi" w:hAnsiTheme="minorHAnsi" w:cs="Courier New"/>
          <w:sz w:val="22"/>
          <w:szCs w:val="22"/>
          <w:lang w:bidi="he-IL"/>
        </w:rPr>
      </w:pPr>
    </w:p>
    <w:p w14:paraId="0B1D4769" w14:textId="73724855" w:rsidR="00C47C6B" w:rsidRDefault="00C47C6B" w:rsidP="00312703">
      <w:pPr>
        <w:autoSpaceDE w:val="0"/>
        <w:autoSpaceDN w:val="0"/>
        <w:adjustRightInd w:val="0"/>
        <w:jc w:val="both"/>
        <w:rPr>
          <w:rFonts w:asciiTheme="minorHAnsi" w:hAnsiTheme="minorHAnsi" w:cs="Courier New"/>
          <w:sz w:val="22"/>
          <w:szCs w:val="22"/>
          <w:lang w:bidi="he-IL"/>
        </w:rPr>
      </w:pPr>
      <w:r>
        <w:rPr>
          <w:rFonts w:asciiTheme="minorHAnsi" w:hAnsiTheme="minorHAnsi" w:cs="Courier New"/>
          <w:sz w:val="22"/>
          <w:szCs w:val="22"/>
          <w:lang w:bidi="cy"/>
        </w:rPr>
        <w:t>Rhaid i'r Brifysgol roi gwybod i'r NIH am wybodaeth ychwanegol, fel sy'n ofynnol gan yr NIH, am achosion o wrthdaro buddiannau ariannol a nodwyd a sut maent yn cael eu rheoli.</w:t>
      </w:r>
    </w:p>
    <w:p w14:paraId="148D6AC7" w14:textId="104607C6" w:rsidR="00C47C6B" w:rsidRDefault="00C47C6B" w:rsidP="00312703">
      <w:pPr>
        <w:autoSpaceDE w:val="0"/>
        <w:autoSpaceDN w:val="0"/>
        <w:adjustRightInd w:val="0"/>
        <w:jc w:val="both"/>
        <w:rPr>
          <w:rFonts w:asciiTheme="minorHAnsi" w:hAnsiTheme="minorHAnsi" w:cs="Courier New"/>
          <w:sz w:val="22"/>
          <w:szCs w:val="22"/>
          <w:lang w:bidi="he-IL"/>
        </w:rPr>
      </w:pPr>
    </w:p>
    <w:p w14:paraId="2D1DF427" w14:textId="226FE6FE" w:rsidR="000E3A6A" w:rsidRPr="000E3A6A" w:rsidRDefault="000E3A6A" w:rsidP="00312703">
      <w:pPr>
        <w:autoSpaceDE w:val="0"/>
        <w:autoSpaceDN w:val="0"/>
        <w:adjustRightInd w:val="0"/>
        <w:jc w:val="both"/>
        <w:rPr>
          <w:rFonts w:asciiTheme="minorHAnsi" w:hAnsiTheme="minorHAnsi" w:cs="Courier New"/>
          <w:b/>
          <w:bCs/>
          <w:i/>
          <w:iCs/>
          <w:sz w:val="22"/>
          <w:szCs w:val="22"/>
          <w:lang w:bidi="he-IL"/>
        </w:rPr>
      </w:pPr>
      <w:r>
        <w:rPr>
          <w:rFonts w:asciiTheme="minorHAnsi" w:hAnsiTheme="minorHAnsi" w:cs="Courier New"/>
          <w:b/>
          <w:i/>
          <w:sz w:val="22"/>
          <w:szCs w:val="22"/>
          <w:lang w:bidi="cy"/>
        </w:rPr>
        <w:t>Hygyrchedd Cyhoeddus</w:t>
      </w:r>
    </w:p>
    <w:p w14:paraId="69A4E23C" w14:textId="6D674062" w:rsidR="00C47C6B" w:rsidRDefault="00C47C6B" w:rsidP="00312703">
      <w:pPr>
        <w:autoSpaceDE w:val="0"/>
        <w:autoSpaceDN w:val="0"/>
        <w:adjustRightInd w:val="0"/>
        <w:jc w:val="both"/>
        <w:rPr>
          <w:rFonts w:asciiTheme="minorHAnsi" w:hAnsiTheme="minorHAnsi" w:cs="Courier New"/>
          <w:sz w:val="22"/>
          <w:szCs w:val="22"/>
          <w:lang w:bidi="he-IL"/>
        </w:rPr>
      </w:pPr>
      <w:r>
        <w:rPr>
          <w:rFonts w:asciiTheme="minorHAnsi" w:hAnsiTheme="minorHAnsi" w:cs="Courier New"/>
          <w:sz w:val="22"/>
          <w:szCs w:val="22"/>
          <w:lang w:bidi="cy"/>
        </w:rPr>
        <w:t xml:space="preserve">Mae'n ofynnol i'r Brifysgol sicrhau bod gwybodaeth benodol ar gael i'r cyhoedd ynghylch achosion o wrthdaro buddiannau ariannol a nodwyd gan bersonél uwch/allweddol fel y nodir ar wefan NIH (Adran G): </w:t>
      </w:r>
      <w:hyperlink r:id="rId11" w:anchor="/financial-conflict-of-interest.htm?anchor=header11122" w:history="1">
        <w:r w:rsidRPr="00FF0C65">
          <w:rPr>
            <w:rStyle w:val="Hyperlink"/>
            <w:rFonts w:asciiTheme="minorHAnsi" w:hAnsiTheme="minorHAnsi" w:cs="Courier New"/>
            <w:sz w:val="22"/>
            <w:szCs w:val="22"/>
            <w:lang w:bidi="cy"/>
          </w:rPr>
          <w:t>https://grants.nih.gov/faqs#/financial-conflict-of-interest.htm?anchor=header11122</w:t>
        </w:r>
      </w:hyperlink>
    </w:p>
    <w:p w14:paraId="729EC333" w14:textId="77777777" w:rsidR="00C47C6B" w:rsidRPr="00312703" w:rsidRDefault="00C47C6B" w:rsidP="00312703">
      <w:pPr>
        <w:autoSpaceDE w:val="0"/>
        <w:autoSpaceDN w:val="0"/>
        <w:adjustRightInd w:val="0"/>
        <w:jc w:val="both"/>
        <w:rPr>
          <w:rFonts w:asciiTheme="minorHAnsi" w:hAnsiTheme="minorHAnsi" w:cs="Courier New"/>
          <w:sz w:val="22"/>
          <w:szCs w:val="22"/>
          <w:lang w:bidi="he-IL"/>
        </w:rPr>
      </w:pPr>
    </w:p>
    <w:p w14:paraId="47A8D3BD" w14:textId="12C41428" w:rsidR="000E3A6A" w:rsidRPr="000E3A6A" w:rsidRDefault="000E3A6A" w:rsidP="00D76992">
      <w:pPr>
        <w:jc w:val="both"/>
        <w:rPr>
          <w:rFonts w:asciiTheme="minorHAnsi" w:hAnsiTheme="minorHAnsi" w:cs="Arial"/>
          <w:b/>
          <w:i/>
          <w:iCs/>
          <w:color w:val="292526"/>
          <w:sz w:val="22"/>
          <w:szCs w:val="22"/>
          <w:lang w:bidi="he-IL"/>
        </w:rPr>
      </w:pPr>
      <w:r>
        <w:rPr>
          <w:rFonts w:asciiTheme="minorHAnsi" w:hAnsiTheme="minorHAnsi" w:cs="Arial"/>
          <w:b/>
          <w:i/>
          <w:color w:val="292526"/>
          <w:sz w:val="22"/>
          <w:szCs w:val="22"/>
          <w:lang w:bidi="cy"/>
        </w:rPr>
        <w:t>Is-dderbynwyr</w:t>
      </w:r>
    </w:p>
    <w:p w14:paraId="5A0AB3BB" w14:textId="39FD5B6A" w:rsidR="00312703" w:rsidRDefault="001530E5" w:rsidP="00D76992">
      <w:pPr>
        <w:jc w:val="both"/>
        <w:rPr>
          <w:rFonts w:asciiTheme="minorHAnsi" w:hAnsiTheme="minorHAnsi" w:cs="Arial"/>
          <w:bCs/>
          <w:color w:val="292526"/>
          <w:sz w:val="22"/>
          <w:szCs w:val="22"/>
          <w:lang w:bidi="he-IL"/>
        </w:rPr>
      </w:pPr>
      <w:r w:rsidRPr="001530E5">
        <w:rPr>
          <w:rFonts w:asciiTheme="minorHAnsi" w:hAnsiTheme="minorHAnsi" w:cs="Arial"/>
          <w:color w:val="292526"/>
          <w:sz w:val="22"/>
          <w:szCs w:val="22"/>
          <w:lang w:bidi="cy"/>
        </w:rPr>
        <w:t>Pan fydd is-dderbynwyr ar gyfer unrhyw grant a ddyfarnwyd gan NIH, bydd y Brifysgol yn adolygu polisi gwrthdaro buddiannau ariannol yr is-dderbynwyr er mwyn sicrhau ei fod yn bodloni'r gofynion sylfaenol a nodir yn y polisi hwn. Os na fydd y polisi'n bodloni'r gofynion sylfaenol caiff cytundeb ysgrifenedig ei lunio er mwyn sicrhau bod yr is-dderbynnydd yn dilyn polisi'r Brifysgol ei hun, fel y nodir yma.</w:t>
      </w:r>
    </w:p>
    <w:p w14:paraId="1F1A034F" w14:textId="43FDA66C" w:rsidR="001530E5" w:rsidRDefault="001530E5" w:rsidP="00D76992">
      <w:pPr>
        <w:jc w:val="both"/>
        <w:rPr>
          <w:rFonts w:asciiTheme="minorHAnsi" w:hAnsiTheme="minorHAnsi" w:cs="Arial"/>
          <w:bCs/>
          <w:color w:val="292526"/>
          <w:sz w:val="22"/>
          <w:szCs w:val="22"/>
          <w:lang w:bidi="he-IL"/>
        </w:rPr>
      </w:pPr>
    </w:p>
    <w:p w14:paraId="2182C1D5" w14:textId="4CCDBF3F" w:rsidR="000E3A6A" w:rsidRPr="000E3A6A" w:rsidRDefault="000E3A6A" w:rsidP="00D76992">
      <w:pPr>
        <w:jc w:val="both"/>
        <w:rPr>
          <w:rFonts w:asciiTheme="minorHAnsi" w:hAnsiTheme="minorHAnsi" w:cs="Arial"/>
          <w:b/>
          <w:i/>
          <w:iCs/>
          <w:color w:val="292526"/>
          <w:sz w:val="22"/>
          <w:szCs w:val="22"/>
          <w:lang w:bidi="he-IL"/>
        </w:rPr>
      </w:pPr>
      <w:r>
        <w:rPr>
          <w:rFonts w:asciiTheme="minorHAnsi" w:hAnsiTheme="minorHAnsi" w:cs="Arial"/>
          <w:b/>
          <w:i/>
          <w:color w:val="292526"/>
          <w:sz w:val="22"/>
          <w:szCs w:val="22"/>
          <w:lang w:bidi="cy"/>
        </w:rPr>
        <w:t>Diffyg cydymffurfiaeth</w:t>
      </w:r>
    </w:p>
    <w:p w14:paraId="74E643F7" w14:textId="3FC62E20" w:rsidR="001530E5" w:rsidRDefault="001530E5" w:rsidP="00D76992">
      <w:pPr>
        <w:jc w:val="both"/>
        <w:rPr>
          <w:rFonts w:asciiTheme="minorHAnsi" w:hAnsiTheme="minorHAnsi" w:cs="Arial"/>
          <w:bCs/>
          <w:color w:val="292526"/>
          <w:sz w:val="22"/>
          <w:szCs w:val="22"/>
          <w:lang w:bidi="he-IL"/>
        </w:rPr>
      </w:pPr>
      <w:r>
        <w:rPr>
          <w:rFonts w:asciiTheme="minorHAnsi" w:hAnsiTheme="minorHAnsi" w:cs="Arial"/>
          <w:color w:val="292526"/>
          <w:sz w:val="22"/>
          <w:szCs w:val="22"/>
          <w:lang w:bidi="cy"/>
        </w:rPr>
        <w:t>Rhoddir gwybod i’r Pwyllgor Ymchwil Agored, Arloesedd a Moeseg am achosion o beidio â chydymffurfio â'r polisi hwn, a byddant yn eu hadolygu, gan gymryd camau disgyblu yn ôl yr angen. Rhaid cwblhau adolygiad ôl-weithredol a'i ddogfennu o fewn 120 diwrnod i benderfyniad y Brifysgol bod rhywun heb gydymffurfio â'r polisi hwn.</w:t>
      </w:r>
    </w:p>
    <w:p w14:paraId="7F0F71AE" w14:textId="77777777" w:rsidR="001918E5" w:rsidRDefault="001918E5" w:rsidP="00D76992">
      <w:pPr>
        <w:jc w:val="both"/>
        <w:rPr>
          <w:rFonts w:asciiTheme="minorHAnsi" w:hAnsiTheme="minorHAnsi" w:cs="Arial"/>
          <w:bCs/>
          <w:color w:val="292526"/>
          <w:sz w:val="22"/>
          <w:szCs w:val="22"/>
          <w:lang w:bidi="he-IL"/>
        </w:rPr>
      </w:pPr>
    </w:p>
    <w:p w14:paraId="32121C47" w14:textId="2CF6C7A9" w:rsidR="001918E5" w:rsidRDefault="001918E5" w:rsidP="00D76992">
      <w:pPr>
        <w:jc w:val="both"/>
        <w:rPr>
          <w:rFonts w:asciiTheme="minorHAnsi" w:hAnsiTheme="minorHAnsi" w:cs="Arial"/>
          <w:bCs/>
          <w:color w:val="292526"/>
          <w:sz w:val="22"/>
          <w:szCs w:val="22"/>
          <w:lang w:bidi="he-IL"/>
        </w:rPr>
      </w:pPr>
      <w:r>
        <w:rPr>
          <w:rFonts w:asciiTheme="minorHAnsi" w:hAnsiTheme="minorHAnsi" w:cs="Arial"/>
          <w:color w:val="292526"/>
          <w:sz w:val="22"/>
          <w:szCs w:val="22"/>
          <w:lang w:bidi="cy"/>
        </w:rPr>
        <w:t>Bydd y Brifysgol yn rhoi gwybod i'r NIH am bob achos o ddiffyg cydymffurfiaeth â'r polisi hwn gan gynnwys unrhyw faterion sy'n ymwneud â chynllun rheoli gwrthdaro buddiannau ariannol.</w:t>
      </w:r>
    </w:p>
    <w:p w14:paraId="29457340" w14:textId="68631AA4" w:rsidR="001530E5" w:rsidRDefault="001530E5" w:rsidP="00D76992">
      <w:pPr>
        <w:jc w:val="both"/>
        <w:rPr>
          <w:rFonts w:asciiTheme="minorHAnsi" w:hAnsiTheme="minorHAnsi" w:cs="Arial"/>
          <w:bCs/>
          <w:color w:val="292526"/>
          <w:sz w:val="22"/>
          <w:szCs w:val="22"/>
          <w:lang w:bidi="he-IL"/>
        </w:rPr>
      </w:pPr>
    </w:p>
    <w:p w14:paraId="3D01EEDA" w14:textId="03D0DC36" w:rsidR="001530E5" w:rsidRDefault="001530E5" w:rsidP="00D76992">
      <w:pPr>
        <w:jc w:val="both"/>
        <w:rPr>
          <w:rFonts w:asciiTheme="minorHAnsi" w:hAnsiTheme="minorHAnsi" w:cs="Arial"/>
          <w:bCs/>
          <w:color w:val="292526"/>
          <w:sz w:val="22"/>
          <w:szCs w:val="22"/>
          <w:lang w:bidi="he-IL"/>
        </w:rPr>
      </w:pPr>
      <w:r>
        <w:rPr>
          <w:rFonts w:asciiTheme="minorHAnsi" w:hAnsiTheme="minorHAnsi" w:cs="Arial"/>
          <w:color w:val="292526"/>
          <w:sz w:val="22"/>
          <w:szCs w:val="22"/>
          <w:lang w:bidi="cy"/>
        </w:rPr>
        <w:t>Lle nodir diffyg cydymffurfiaeth bydd y Brifysgol yn sicrhau bod yr Ymchwilydd yn datgelu ei achos o wrthdaro buddiannau ariannol ym mhob cyflwyniad cyhoeddus am ganfyddiadau'r ymchwil ac yn gofyn am atodiad i unrhyw gyflwyniadau a gyhoeddwyd yn flaenorol.</w:t>
      </w:r>
    </w:p>
    <w:p w14:paraId="7E9CAA94" w14:textId="5B48DAFD" w:rsidR="001530E5" w:rsidRDefault="001530E5" w:rsidP="00D76992">
      <w:pPr>
        <w:jc w:val="both"/>
        <w:rPr>
          <w:rFonts w:asciiTheme="minorHAnsi" w:hAnsiTheme="minorHAnsi" w:cs="Arial"/>
          <w:bCs/>
          <w:color w:val="292526"/>
          <w:sz w:val="22"/>
          <w:szCs w:val="22"/>
          <w:lang w:bidi="he-IL"/>
        </w:rPr>
      </w:pPr>
    </w:p>
    <w:p w14:paraId="77891632" w14:textId="0526E778" w:rsidR="000E3A6A" w:rsidRPr="000E3A6A" w:rsidRDefault="000E3A6A" w:rsidP="00D76992">
      <w:pPr>
        <w:jc w:val="both"/>
        <w:rPr>
          <w:rFonts w:asciiTheme="minorHAnsi" w:hAnsiTheme="minorHAnsi" w:cs="Arial"/>
          <w:b/>
          <w:i/>
          <w:iCs/>
          <w:color w:val="292526"/>
          <w:sz w:val="22"/>
          <w:szCs w:val="22"/>
          <w:lang w:bidi="he-IL"/>
        </w:rPr>
      </w:pPr>
      <w:r>
        <w:rPr>
          <w:rFonts w:asciiTheme="minorHAnsi" w:hAnsiTheme="minorHAnsi" w:cs="Arial"/>
          <w:b/>
          <w:i/>
          <w:color w:val="292526"/>
          <w:sz w:val="22"/>
          <w:szCs w:val="22"/>
          <w:lang w:bidi="cy"/>
        </w:rPr>
        <w:t>Rheoli Cofnodion</w:t>
      </w:r>
    </w:p>
    <w:p w14:paraId="1505F30E" w14:textId="0C2EB958" w:rsidR="001530E5" w:rsidRPr="001530E5" w:rsidRDefault="001918E5" w:rsidP="00D76992">
      <w:pPr>
        <w:jc w:val="both"/>
        <w:rPr>
          <w:rFonts w:asciiTheme="minorHAnsi" w:hAnsiTheme="minorHAnsi" w:cs="Arial"/>
          <w:bCs/>
          <w:color w:val="292526"/>
          <w:sz w:val="22"/>
          <w:szCs w:val="22"/>
          <w:lang w:bidi="he-IL"/>
        </w:rPr>
      </w:pPr>
      <w:r>
        <w:rPr>
          <w:rFonts w:asciiTheme="minorHAnsi" w:hAnsiTheme="minorHAnsi" w:cs="Arial"/>
          <w:color w:val="292526"/>
          <w:sz w:val="22"/>
          <w:szCs w:val="22"/>
          <w:lang w:bidi="cy"/>
        </w:rPr>
        <w:t xml:space="preserve">Bydd y Brifysgol yn cadw'r holl gofnodion gwrthdaro buddiannau ariannol, gan gynnwys unrhyw gynlluniau i reoli neu ddatrys, am gyfnod o 3 blynedd o leiaf o'r dyddiad y cyflwynir yr adroddiad gwariant terfynol i'r NIH neu o ddyddiadau eraill fel y nodir yn y rheoliadau, lle bo’n gymwys. </w:t>
      </w:r>
    </w:p>
    <w:p w14:paraId="30E527D4" w14:textId="77777777" w:rsidR="000E3A6A" w:rsidRDefault="000E3A6A" w:rsidP="008734AD">
      <w:pPr>
        <w:rPr>
          <w:rFonts w:asciiTheme="minorHAnsi" w:hAnsiTheme="minorHAnsi" w:cs="Arial"/>
          <w:b/>
          <w:color w:val="292526"/>
          <w:sz w:val="22"/>
          <w:szCs w:val="22"/>
          <w:lang w:bidi="he-IL"/>
        </w:rPr>
      </w:pPr>
    </w:p>
    <w:p w14:paraId="4F93B50F" w14:textId="6235AEF4" w:rsidR="003003E2" w:rsidRDefault="003003E2" w:rsidP="003003E2">
      <w:pPr>
        <w:spacing w:before="100" w:beforeAutospacing="1" w:after="100" w:afterAutospacing="1"/>
        <w:jc w:val="both"/>
        <w:rPr>
          <w:rFonts w:asciiTheme="minorHAnsi" w:eastAsia="Times New Roman" w:hAnsiTheme="minorHAnsi"/>
          <w:sz w:val="22"/>
          <w:szCs w:val="22"/>
          <w:lang w:eastAsia="en-GB"/>
        </w:rPr>
      </w:pPr>
    </w:p>
    <w:sectPr w:rsidR="003003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807EE" w14:textId="77777777" w:rsidR="00C706F4" w:rsidRDefault="00C706F4" w:rsidP="000811CA">
      <w:r>
        <w:separator/>
      </w:r>
    </w:p>
  </w:endnote>
  <w:endnote w:type="continuationSeparator" w:id="0">
    <w:p w14:paraId="461F2A1F" w14:textId="77777777" w:rsidR="00C706F4" w:rsidRDefault="00C706F4" w:rsidP="0008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3D1E5" w14:textId="77777777" w:rsidR="00C706F4" w:rsidRDefault="00C706F4" w:rsidP="000811CA">
      <w:r>
        <w:separator/>
      </w:r>
    </w:p>
  </w:footnote>
  <w:footnote w:type="continuationSeparator" w:id="0">
    <w:p w14:paraId="3A572474" w14:textId="77777777" w:rsidR="00C706F4" w:rsidRDefault="00C706F4" w:rsidP="000811CA">
      <w:r>
        <w:continuationSeparator/>
      </w:r>
    </w:p>
  </w:footnote>
  <w:footnote w:id="1">
    <w:p w14:paraId="0D6D77F9" w14:textId="77777777" w:rsidR="00196118" w:rsidRDefault="00196118" w:rsidP="00196118">
      <w:pPr>
        <w:rPr>
          <w:rFonts w:asciiTheme="minorHAnsi" w:hAnsiTheme="minorHAnsi" w:cstheme="minorHAnsi"/>
          <w:sz w:val="22"/>
          <w:szCs w:val="22"/>
        </w:rPr>
      </w:pPr>
      <w:r>
        <w:rPr>
          <w:rStyle w:val="FootnoteReference"/>
          <w:lang w:bidi="cy"/>
        </w:rPr>
        <w:footnoteRef/>
      </w:r>
      <w:r>
        <w:rPr>
          <w:lang w:bidi="cy"/>
        </w:rPr>
        <w:t xml:space="preserve"> </w:t>
      </w:r>
      <w:r>
        <w:rPr>
          <w:rFonts w:asciiTheme="minorHAnsi" w:hAnsiTheme="minorHAnsi" w:cstheme="minorHAnsi"/>
          <w:sz w:val="22"/>
          <w:szCs w:val="22"/>
          <w:lang w:bidi="cy"/>
        </w:rPr>
        <w:t xml:space="preserve">Cynllun rheoli gwrthdaro sy'n nodi'r strategaeth y cytunwyd arni ar gyfer rheoli achosion o wrthdaro a ddatgelwyd, gan gynnwys dyddiadau adolygu, cyfrifoldebau datgelu, adolygydd ac eraill, ac sy'n nodi unrhyw opsiynau ar gyfer diwygio a all fod yn ofynnol yn y dyfodol. </w:t>
      </w:r>
    </w:p>
    <w:p w14:paraId="7F3D268B" w14:textId="3BA04108" w:rsidR="00196118" w:rsidRDefault="0019611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6114"/>
    <w:multiLevelType w:val="multilevel"/>
    <w:tmpl w:val="C9D810A0"/>
    <w:lvl w:ilvl="0">
      <w:start w:val="1"/>
      <w:numFmt w:val="upperRoman"/>
      <w:lvlText w:val="(%1)"/>
      <w:lvlJc w:val="left"/>
      <w:pPr>
        <w:tabs>
          <w:tab w:val="num" w:pos="720"/>
        </w:tabs>
        <w:ind w:left="720" w:hanging="360"/>
      </w:pPr>
      <w:rPr>
        <w:rFonts w:ascii="Verdana" w:eastAsia="SimSun" w:hAnsi="Verdana" w:cs="Times New Roman"/>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23"/>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66840"/>
    <w:multiLevelType w:val="hybridMultilevel"/>
    <w:tmpl w:val="6ABC23DA"/>
    <w:lvl w:ilvl="0" w:tplc="08090013">
      <w:start w:val="1"/>
      <w:numFmt w:val="upperRoman"/>
      <w:lvlText w:val="%1."/>
      <w:lvlJc w:val="righ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 w15:restartNumberingAfterBreak="0">
    <w:nsid w:val="0E5740DB"/>
    <w:multiLevelType w:val="multilevel"/>
    <w:tmpl w:val="C1F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94229"/>
    <w:multiLevelType w:val="hybridMultilevel"/>
    <w:tmpl w:val="9384AF28"/>
    <w:lvl w:ilvl="0" w:tplc="22B4B58E">
      <w:start w:val="5"/>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A7721"/>
    <w:multiLevelType w:val="multilevel"/>
    <w:tmpl w:val="E22C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A0892"/>
    <w:multiLevelType w:val="hybridMultilevel"/>
    <w:tmpl w:val="2BA25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BD2B0D"/>
    <w:multiLevelType w:val="hybridMultilevel"/>
    <w:tmpl w:val="2ED402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63013F"/>
    <w:multiLevelType w:val="multilevel"/>
    <w:tmpl w:val="D534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0302C5"/>
    <w:multiLevelType w:val="hybridMultilevel"/>
    <w:tmpl w:val="4B265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154D93"/>
    <w:multiLevelType w:val="hybridMultilevel"/>
    <w:tmpl w:val="C2CA5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85531E"/>
    <w:multiLevelType w:val="multilevel"/>
    <w:tmpl w:val="C4DA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250E12"/>
    <w:multiLevelType w:val="hybridMultilevel"/>
    <w:tmpl w:val="F62CAF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7A8F0C78"/>
    <w:multiLevelType w:val="hybridMultilevel"/>
    <w:tmpl w:val="513039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657EA3"/>
    <w:multiLevelType w:val="hybridMultilevel"/>
    <w:tmpl w:val="1D465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1B13AC"/>
    <w:multiLevelType w:val="multilevel"/>
    <w:tmpl w:val="C086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upperRoman"/>
        <w:lvlText w:val="(%1)"/>
        <w:lvlJc w:val="left"/>
        <w:pPr>
          <w:tabs>
            <w:tab w:val="num" w:pos="720"/>
          </w:tabs>
          <w:ind w:left="720" w:hanging="360"/>
        </w:pPr>
        <w:rPr>
          <w:rFonts w:ascii="Verdana" w:eastAsia="SimSun" w:hAnsi="Verdana" w:cs="Times New Roman"/>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decimal"/>
        <w:lvlText w:val="%3."/>
        <w:lvlJc w:val="left"/>
        <w:pPr>
          <w:tabs>
            <w:tab w:val="num" w:pos="2160"/>
          </w:tabs>
          <w:ind w:left="2160" w:hanging="360"/>
        </w:pPr>
      </w:lvl>
    </w:lvlOverride>
    <w:lvlOverride w:ilvl="3">
      <w:lvl w:ilvl="3">
        <w:numFmt w:val="decimal"/>
        <w:lvlText w:val="%4."/>
        <w:lvlJc w:val="left"/>
      </w:lvl>
    </w:lvlOverride>
    <w:lvlOverride w:ilvl="4">
      <w:lvl w:ilvl="4">
        <w:start w:val="1"/>
        <w:numFmt w:val="lowerRoman"/>
        <w:lvlText w:val="%5)"/>
        <w:lvlJc w:val="left"/>
        <w:pPr>
          <w:ind w:left="3960" w:hanging="720"/>
        </w:pPr>
        <w:rPr>
          <w:rFonts w:hint="default"/>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
    <w:abstractNumId w:val="5"/>
  </w:num>
  <w:num w:numId="3">
    <w:abstractNumId w:val="11"/>
  </w:num>
  <w:num w:numId="4">
    <w:abstractNumId w:val="13"/>
  </w:num>
  <w:num w:numId="5">
    <w:abstractNumId w:val="10"/>
  </w:num>
  <w:num w:numId="6">
    <w:abstractNumId w:val="3"/>
  </w:num>
  <w:num w:numId="7">
    <w:abstractNumId w:val="8"/>
  </w:num>
  <w:num w:numId="8">
    <w:abstractNumId w:val="9"/>
  </w:num>
  <w:num w:numId="9">
    <w:abstractNumId w:val="4"/>
  </w:num>
  <w:num w:numId="10">
    <w:abstractNumId w:val="2"/>
  </w:num>
  <w:num w:numId="11">
    <w:abstractNumId w:val="14"/>
  </w:num>
  <w:num w:numId="12">
    <w:abstractNumId w:val="7"/>
  </w:num>
  <w:num w:numId="13">
    <w:abstractNumId w:val="1"/>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CA"/>
    <w:rsid w:val="00072198"/>
    <w:rsid w:val="000761C4"/>
    <w:rsid w:val="000811CA"/>
    <w:rsid w:val="000A45B7"/>
    <w:rsid w:val="000A6373"/>
    <w:rsid w:val="000C538F"/>
    <w:rsid w:val="000E3A6A"/>
    <w:rsid w:val="001166D8"/>
    <w:rsid w:val="0013480F"/>
    <w:rsid w:val="00140B56"/>
    <w:rsid w:val="001530E5"/>
    <w:rsid w:val="001918E5"/>
    <w:rsid w:val="00196118"/>
    <w:rsid w:val="001D7037"/>
    <w:rsid w:val="001E747D"/>
    <w:rsid w:val="001F79FB"/>
    <w:rsid w:val="00201355"/>
    <w:rsid w:val="00205D00"/>
    <w:rsid w:val="002E104A"/>
    <w:rsid w:val="003003E2"/>
    <w:rsid w:val="0031239B"/>
    <w:rsid w:val="00312703"/>
    <w:rsid w:val="0035768F"/>
    <w:rsid w:val="00382E53"/>
    <w:rsid w:val="003D7A0A"/>
    <w:rsid w:val="0040326C"/>
    <w:rsid w:val="00413ADA"/>
    <w:rsid w:val="004173A2"/>
    <w:rsid w:val="004269FD"/>
    <w:rsid w:val="0044398B"/>
    <w:rsid w:val="00445505"/>
    <w:rsid w:val="00453A2E"/>
    <w:rsid w:val="00462466"/>
    <w:rsid w:val="004831FC"/>
    <w:rsid w:val="004A0CC1"/>
    <w:rsid w:val="004D33A8"/>
    <w:rsid w:val="00505ADA"/>
    <w:rsid w:val="005275C9"/>
    <w:rsid w:val="00585934"/>
    <w:rsid w:val="00590EAE"/>
    <w:rsid w:val="00596CFF"/>
    <w:rsid w:val="005A573C"/>
    <w:rsid w:val="005C0A51"/>
    <w:rsid w:val="005D4597"/>
    <w:rsid w:val="005D7A4B"/>
    <w:rsid w:val="006017A0"/>
    <w:rsid w:val="00602CFA"/>
    <w:rsid w:val="00636FC4"/>
    <w:rsid w:val="0064010E"/>
    <w:rsid w:val="00644928"/>
    <w:rsid w:val="00657D81"/>
    <w:rsid w:val="006A1E2D"/>
    <w:rsid w:val="006B064E"/>
    <w:rsid w:val="006B2549"/>
    <w:rsid w:val="0074432E"/>
    <w:rsid w:val="007460C7"/>
    <w:rsid w:val="00750B8C"/>
    <w:rsid w:val="0075326A"/>
    <w:rsid w:val="00760E4C"/>
    <w:rsid w:val="00775D5E"/>
    <w:rsid w:val="007E1074"/>
    <w:rsid w:val="008240BD"/>
    <w:rsid w:val="008327E4"/>
    <w:rsid w:val="008734AD"/>
    <w:rsid w:val="008927BA"/>
    <w:rsid w:val="00895FE6"/>
    <w:rsid w:val="008C161F"/>
    <w:rsid w:val="008D323E"/>
    <w:rsid w:val="008E2E55"/>
    <w:rsid w:val="008F3203"/>
    <w:rsid w:val="008F37E6"/>
    <w:rsid w:val="00923F5B"/>
    <w:rsid w:val="00955FA0"/>
    <w:rsid w:val="00970AC0"/>
    <w:rsid w:val="00A24F18"/>
    <w:rsid w:val="00A36466"/>
    <w:rsid w:val="00A374A7"/>
    <w:rsid w:val="00A60420"/>
    <w:rsid w:val="00A702E1"/>
    <w:rsid w:val="00A8145A"/>
    <w:rsid w:val="00AA5651"/>
    <w:rsid w:val="00AC0E53"/>
    <w:rsid w:val="00AD2873"/>
    <w:rsid w:val="00AE22FF"/>
    <w:rsid w:val="00AF4B46"/>
    <w:rsid w:val="00AF7F84"/>
    <w:rsid w:val="00B150CE"/>
    <w:rsid w:val="00B21094"/>
    <w:rsid w:val="00B22ECF"/>
    <w:rsid w:val="00B346E8"/>
    <w:rsid w:val="00B53330"/>
    <w:rsid w:val="00B867A1"/>
    <w:rsid w:val="00BA1208"/>
    <w:rsid w:val="00BB0439"/>
    <w:rsid w:val="00BB6917"/>
    <w:rsid w:val="00BD5F22"/>
    <w:rsid w:val="00BF17B2"/>
    <w:rsid w:val="00C034E8"/>
    <w:rsid w:val="00C47C6B"/>
    <w:rsid w:val="00C56CC9"/>
    <w:rsid w:val="00C67AB8"/>
    <w:rsid w:val="00C706F4"/>
    <w:rsid w:val="00CA2000"/>
    <w:rsid w:val="00CA33CC"/>
    <w:rsid w:val="00CD3FB8"/>
    <w:rsid w:val="00D35318"/>
    <w:rsid w:val="00D7437E"/>
    <w:rsid w:val="00D76992"/>
    <w:rsid w:val="00E14459"/>
    <w:rsid w:val="00E465C7"/>
    <w:rsid w:val="00E50424"/>
    <w:rsid w:val="00E56BC2"/>
    <w:rsid w:val="00E60C63"/>
    <w:rsid w:val="00E63607"/>
    <w:rsid w:val="00E737A8"/>
    <w:rsid w:val="00E813B6"/>
    <w:rsid w:val="00ED60EA"/>
    <w:rsid w:val="00F064D6"/>
    <w:rsid w:val="00F337A1"/>
    <w:rsid w:val="00F37C92"/>
    <w:rsid w:val="00F42AE4"/>
    <w:rsid w:val="00F520F8"/>
    <w:rsid w:val="00F64DAB"/>
    <w:rsid w:val="00FC7F3A"/>
    <w:rsid w:val="00FD6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B313AD"/>
  <w15:chartTrackingRefBased/>
  <w15:docId w15:val="{362D9900-49C0-4AA3-8910-D366D267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1CA"/>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AF4B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737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7C9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1CA"/>
    <w:pPr>
      <w:ind w:left="720"/>
      <w:contextualSpacing/>
    </w:pPr>
  </w:style>
  <w:style w:type="paragraph" w:styleId="FootnoteText">
    <w:name w:val="footnote text"/>
    <w:basedOn w:val="Normal"/>
    <w:link w:val="FootnoteTextChar"/>
    <w:uiPriority w:val="99"/>
    <w:semiHidden/>
    <w:unhideWhenUsed/>
    <w:rsid w:val="000811CA"/>
    <w:rPr>
      <w:sz w:val="20"/>
      <w:szCs w:val="20"/>
    </w:rPr>
  </w:style>
  <w:style w:type="character" w:customStyle="1" w:styleId="FootnoteTextChar">
    <w:name w:val="Footnote Text Char"/>
    <w:basedOn w:val="DefaultParagraphFont"/>
    <w:link w:val="FootnoteText"/>
    <w:uiPriority w:val="99"/>
    <w:semiHidden/>
    <w:rsid w:val="000811CA"/>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0811CA"/>
    <w:rPr>
      <w:vertAlign w:val="superscript"/>
    </w:rPr>
  </w:style>
  <w:style w:type="paragraph" w:customStyle="1" w:styleId="Default">
    <w:name w:val="Default"/>
    <w:rsid w:val="000811C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811CA"/>
    <w:pPr>
      <w:tabs>
        <w:tab w:val="center" w:pos="4513"/>
        <w:tab w:val="right" w:pos="9026"/>
      </w:tabs>
    </w:pPr>
  </w:style>
  <w:style w:type="character" w:customStyle="1" w:styleId="HeaderChar">
    <w:name w:val="Header Char"/>
    <w:basedOn w:val="DefaultParagraphFont"/>
    <w:link w:val="Header"/>
    <w:uiPriority w:val="99"/>
    <w:rsid w:val="000811CA"/>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0811CA"/>
    <w:pPr>
      <w:tabs>
        <w:tab w:val="center" w:pos="4513"/>
        <w:tab w:val="right" w:pos="9026"/>
      </w:tabs>
    </w:pPr>
  </w:style>
  <w:style w:type="character" w:customStyle="1" w:styleId="FooterChar">
    <w:name w:val="Footer Char"/>
    <w:basedOn w:val="DefaultParagraphFont"/>
    <w:link w:val="Footer"/>
    <w:uiPriority w:val="99"/>
    <w:rsid w:val="000811CA"/>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0811CA"/>
    <w:rPr>
      <w:color w:val="0563C1" w:themeColor="hyperlink"/>
      <w:u w:val="single"/>
    </w:rPr>
  </w:style>
  <w:style w:type="paragraph" w:styleId="NoSpacing">
    <w:name w:val="No Spacing"/>
    <w:link w:val="NoSpacingChar"/>
    <w:uiPriority w:val="1"/>
    <w:qFormat/>
    <w:rsid w:val="006B064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B064E"/>
    <w:rPr>
      <w:rFonts w:eastAsiaTheme="minorEastAsia"/>
      <w:lang w:val="en-US"/>
    </w:rPr>
  </w:style>
  <w:style w:type="character" w:styleId="FollowedHyperlink">
    <w:name w:val="FollowedHyperlink"/>
    <w:basedOn w:val="DefaultParagraphFont"/>
    <w:uiPriority w:val="99"/>
    <w:semiHidden/>
    <w:unhideWhenUsed/>
    <w:rsid w:val="00A702E1"/>
    <w:rPr>
      <w:color w:val="954F72" w:themeColor="followedHyperlink"/>
      <w:u w:val="single"/>
    </w:rPr>
  </w:style>
  <w:style w:type="table" w:styleId="TableGrid">
    <w:name w:val="Table Grid"/>
    <w:basedOn w:val="TableNormal"/>
    <w:uiPriority w:val="39"/>
    <w:rsid w:val="000A6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SWANS">
    <w:name w:val="Section Heading - SWANS"/>
    <w:basedOn w:val="Heading1"/>
    <w:next w:val="Normal"/>
    <w:link w:val="SectionHeading-SWANSChar"/>
    <w:autoRedefine/>
    <w:qFormat/>
    <w:rsid w:val="00AF4B46"/>
    <w:pPr>
      <w:contextualSpacing/>
    </w:pPr>
    <w:rPr>
      <w:rFonts w:ascii="Arial" w:hAnsi="Arial"/>
      <w:b/>
      <w:bCs/>
      <w:color w:val="44546A" w:themeColor="text2"/>
      <w:spacing w:val="-10"/>
      <w:kern w:val="28"/>
      <w:sz w:val="26"/>
      <w:szCs w:val="28"/>
      <w:lang w:eastAsia="en-US"/>
    </w:rPr>
  </w:style>
  <w:style w:type="character" w:customStyle="1" w:styleId="SectionHeading-SWANSChar">
    <w:name w:val="Section Heading - SWANS Char"/>
    <w:basedOn w:val="DefaultParagraphFont"/>
    <w:link w:val="SectionHeading-SWANS"/>
    <w:rsid w:val="00AF4B46"/>
    <w:rPr>
      <w:rFonts w:ascii="Arial" w:eastAsiaTheme="majorEastAsia" w:hAnsi="Arial" w:cstheme="majorBidi"/>
      <w:b/>
      <w:bCs/>
      <w:color w:val="44546A" w:themeColor="text2"/>
      <w:spacing w:val="-10"/>
      <w:kern w:val="28"/>
      <w:sz w:val="26"/>
      <w:szCs w:val="28"/>
    </w:rPr>
  </w:style>
  <w:style w:type="paragraph" w:customStyle="1" w:styleId="Subheading">
    <w:name w:val="Subheading"/>
    <w:basedOn w:val="Normal"/>
    <w:link w:val="SubheadingChar"/>
    <w:autoRedefine/>
    <w:qFormat/>
    <w:rsid w:val="00AF4B46"/>
    <w:rPr>
      <w:rFonts w:ascii="Arial" w:eastAsiaTheme="minorHAnsi" w:hAnsi="Arial" w:cs="Arial"/>
      <w:b/>
      <w:bCs/>
      <w:color w:val="44546A" w:themeColor="text2"/>
      <w:sz w:val="22"/>
      <w:szCs w:val="20"/>
      <w:u w:color="CAD400"/>
      <w:lang w:eastAsia="en-US"/>
    </w:rPr>
  </w:style>
  <w:style w:type="character" w:customStyle="1" w:styleId="SubheadingChar">
    <w:name w:val="Subheading Char"/>
    <w:basedOn w:val="DefaultParagraphFont"/>
    <w:link w:val="Subheading"/>
    <w:rsid w:val="00AF4B46"/>
    <w:rPr>
      <w:rFonts w:ascii="Arial" w:hAnsi="Arial" w:cs="Arial"/>
      <w:b/>
      <w:bCs/>
      <w:color w:val="44546A" w:themeColor="text2"/>
      <w:szCs w:val="20"/>
      <w:u w:color="CAD400"/>
    </w:rPr>
  </w:style>
  <w:style w:type="character" w:customStyle="1" w:styleId="Heading1Char">
    <w:name w:val="Heading 1 Char"/>
    <w:basedOn w:val="DefaultParagraphFont"/>
    <w:link w:val="Heading1"/>
    <w:uiPriority w:val="9"/>
    <w:rsid w:val="00AF4B46"/>
    <w:rPr>
      <w:rFonts w:asciiTheme="majorHAnsi" w:eastAsiaTheme="majorEastAsia" w:hAnsiTheme="majorHAnsi" w:cstheme="majorBidi"/>
      <w:color w:val="2E74B5" w:themeColor="accent1" w:themeShade="BF"/>
      <w:sz w:val="32"/>
      <w:szCs w:val="32"/>
      <w:lang w:eastAsia="zh-CN"/>
    </w:rPr>
  </w:style>
  <w:style w:type="character" w:customStyle="1" w:styleId="Heading3Char">
    <w:name w:val="Heading 3 Char"/>
    <w:basedOn w:val="DefaultParagraphFont"/>
    <w:link w:val="Heading3"/>
    <w:uiPriority w:val="9"/>
    <w:semiHidden/>
    <w:rsid w:val="00F37C92"/>
    <w:rPr>
      <w:rFonts w:asciiTheme="majorHAnsi" w:eastAsiaTheme="majorEastAsia" w:hAnsiTheme="majorHAnsi" w:cstheme="majorBidi"/>
      <w:color w:val="1F4D78" w:themeColor="accent1" w:themeShade="7F"/>
      <w:sz w:val="24"/>
      <w:szCs w:val="24"/>
      <w:lang w:eastAsia="zh-CN"/>
    </w:rPr>
  </w:style>
  <w:style w:type="character" w:customStyle="1" w:styleId="Heading2Char">
    <w:name w:val="Heading 2 Char"/>
    <w:basedOn w:val="DefaultParagraphFont"/>
    <w:link w:val="Heading2"/>
    <w:uiPriority w:val="9"/>
    <w:semiHidden/>
    <w:rsid w:val="00E737A8"/>
    <w:rPr>
      <w:rFonts w:asciiTheme="majorHAnsi" w:eastAsiaTheme="majorEastAsia" w:hAnsiTheme="majorHAnsi" w:cstheme="majorBidi"/>
      <w:color w:val="2E74B5" w:themeColor="accent1" w:themeShade="BF"/>
      <w:sz w:val="26"/>
      <w:szCs w:val="26"/>
      <w:lang w:eastAsia="zh-CN"/>
    </w:rPr>
  </w:style>
  <w:style w:type="character" w:styleId="CommentReference">
    <w:name w:val="annotation reference"/>
    <w:basedOn w:val="DefaultParagraphFont"/>
    <w:uiPriority w:val="99"/>
    <w:semiHidden/>
    <w:unhideWhenUsed/>
    <w:rsid w:val="008D323E"/>
    <w:rPr>
      <w:sz w:val="16"/>
      <w:szCs w:val="16"/>
    </w:rPr>
  </w:style>
  <w:style w:type="paragraph" w:styleId="CommentText">
    <w:name w:val="annotation text"/>
    <w:basedOn w:val="Normal"/>
    <w:link w:val="CommentTextChar"/>
    <w:uiPriority w:val="99"/>
    <w:semiHidden/>
    <w:unhideWhenUsed/>
    <w:rsid w:val="008D323E"/>
    <w:rPr>
      <w:sz w:val="20"/>
      <w:szCs w:val="20"/>
    </w:rPr>
  </w:style>
  <w:style w:type="character" w:customStyle="1" w:styleId="CommentTextChar">
    <w:name w:val="Comment Text Char"/>
    <w:basedOn w:val="DefaultParagraphFont"/>
    <w:link w:val="CommentText"/>
    <w:uiPriority w:val="99"/>
    <w:semiHidden/>
    <w:rsid w:val="008D323E"/>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D323E"/>
    <w:rPr>
      <w:b/>
      <w:bCs/>
    </w:rPr>
  </w:style>
  <w:style w:type="character" w:customStyle="1" w:styleId="CommentSubjectChar">
    <w:name w:val="Comment Subject Char"/>
    <w:basedOn w:val="CommentTextChar"/>
    <w:link w:val="CommentSubject"/>
    <w:uiPriority w:val="99"/>
    <w:semiHidden/>
    <w:rsid w:val="008D323E"/>
    <w:rPr>
      <w:rFonts w:ascii="Times New Roman" w:eastAsia="SimSun" w:hAnsi="Times New Roman" w:cs="Times New Roman"/>
      <w:b/>
      <w:bCs/>
      <w:sz w:val="20"/>
      <w:szCs w:val="20"/>
      <w:lang w:eastAsia="zh-CN"/>
    </w:rPr>
  </w:style>
  <w:style w:type="paragraph" w:styleId="NormalWeb">
    <w:name w:val="Normal (Web)"/>
    <w:basedOn w:val="Normal"/>
    <w:uiPriority w:val="99"/>
    <w:semiHidden/>
    <w:unhideWhenUsed/>
    <w:rsid w:val="00B53330"/>
    <w:pPr>
      <w:spacing w:before="100" w:beforeAutospacing="1" w:after="100" w:afterAutospacing="1"/>
    </w:pPr>
    <w:rPr>
      <w:rFonts w:eastAsia="Times New Roman"/>
      <w:lang w:eastAsia="en-GB"/>
    </w:rPr>
  </w:style>
  <w:style w:type="character" w:styleId="Strong">
    <w:name w:val="Strong"/>
    <w:basedOn w:val="DefaultParagraphFont"/>
    <w:uiPriority w:val="22"/>
    <w:qFormat/>
    <w:rsid w:val="00B53330"/>
    <w:rPr>
      <w:b/>
      <w:bCs/>
    </w:rPr>
  </w:style>
  <w:style w:type="character" w:styleId="UnresolvedMention">
    <w:name w:val="Unresolved Mention"/>
    <w:basedOn w:val="DefaultParagraphFont"/>
    <w:uiPriority w:val="99"/>
    <w:semiHidden/>
    <w:unhideWhenUsed/>
    <w:rsid w:val="00116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37697">
      <w:bodyDiv w:val="1"/>
      <w:marLeft w:val="0"/>
      <w:marRight w:val="0"/>
      <w:marTop w:val="0"/>
      <w:marBottom w:val="0"/>
      <w:divBdr>
        <w:top w:val="none" w:sz="0" w:space="0" w:color="auto"/>
        <w:left w:val="none" w:sz="0" w:space="0" w:color="auto"/>
        <w:bottom w:val="none" w:sz="0" w:space="0" w:color="auto"/>
        <w:right w:val="none" w:sz="0" w:space="0" w:color="auto"/>
      </w:divBdr>
    </w:div>
    <w:div w:id="144590728">
      <w:bodyDiv w:val="1"/>
      <w:marLeft w:val="0"/>
      <w:marRight w:val="0"/>
      <w:marTop w:val="0"/>
      <w:marBottom w:val="0"/>
      <w:divBdr>
        <w:top w:val="none" w:sz="0" w:space="0" w:color="auto"/>
        <w:left w:val="none" w:sz="0" w:space="0" w:color="auto"/>
        <w:bottom w:val="none" w:sz="0" w:space="0" w:color="auto"/>
        <w:right w:val="none" w:sz="0" w:space="0" w:color="auto"/>
      </w:divBdr>
    </w:div>
    <w:div w:id="181748603">
      <w:bodyDiv w:val="1"/>
      <w:marLeft w:val="0"/>
      <w:marRight w:val="0"/>
      <w:marTop w:val="0"/>
      <w:marBottom w:val="0"/>
      <w:divBdr>
        <w:top w:val="none" w:sz="0" w:space="0" w:color="auto"/>
        <w:left w:val="none" w:sz="0" w:space="0" w:color="auto"/>
        <w:bottom w:val="none" w:sz="0" w:space="0" w:color="auto"/>
        <w:right w:val="none" w:sz="0" w:space="0" w:color="auto"/>
      </w:divBdr>
    </w:div>
    <w:div w:id="316106213">
      <w:bodyDiv w:val="1"/>
      <w:marLeft w:val="0"/>
      <w:marRight w:val="0"/>
      <w:marTop w:val="0"/>
      <w:marBottom w:val="0"/>
      <w:divBdr>
        <w:top w:val="none" w:sz="0" w:space="0" w:color="auto"/>
        <w:left w:val="none" w:sz="0" w:space="0" w:color="auto"/>
        <w:bottom w:val="none" w:sz="0" w:space="0" w:color="auto"/>
        <w:right w:val="none" w:sz="0" w:space="0" w:color="auto"/>
      </w:divBdr>
    </w:div>
    <w:div w:id="379088864">
      <w:bodyDiv w:val="1"/>
      <w:marLeft w:val="0"/>
      <w:marRight w:val="0"/>
      <w:marTop w:val="0"/>
      <w:marBottom w:val="0"/>
      <w:divBdr>
        <w:top w:val="none" w:sz="0" w:space="0" w:color="auto"/>
        <w:left w:val="none" w:sz="0" w:space="0" w:color="auto"/>
        <w:bottom w:val="none" w:sz="0" w:space="0" w:color="auto"/>
        <w:right w:val="none" w:sz="0" w:space="0" w:color="auto"/>
      </w:divBdr>
    </w:div>
    <w:div w:id="493037726">
      <w:bodyDiv w:val="1"/>
      <w:marLeft w:val="0"/>
      <w:marRight w:val="0"/>
      <w:marTop w:val="0"/>
      <w:marBottom w:val="0"/>
      <w:divBdr>
        <w:top w:val="none" w:sz="0" w:space="0" w:color="auto"/>
        <w:left w:val="none" w:sz="0" w:space="0" w:color="auto"/>
        <w:bottom w:val="none" w:sz="0" w:space="0" w:color="auto"/>
        <w:right w:val="none" w:sz="0" w:space="0" w:color="auto"/>
      </w:divBdr>
    </w:div>
    <w:div w:id="551236759">
      <w:bodyDiv w:val="1"/>
      <w:marLeft w:val="0"/>
      <w:marRight w:val="0"/>
      <w:marTop w:val="0"/>
      <w:marBottom w:val="0"/>
      <w:divBdr>
        <w:top w:val="none" w:sz="0" w:space="0" w:color="auto"/>
        <w:left w:val="none" w:sz="0" w:space="0" w:color="auto"/>
        <w:bottom w:val="none" w:sz="0" w:space="0" w:color="auto"/>
        <w:right w:val="none" w:sz="0" w:space="0" w:color="auto"/>
      </w:divBdr>
    </w:div>
    <w:div w:id="595797066">
      <w:bodyDiv w:val="1"/>
      <w:marLeft w:val="0"/>
      <w:marRight w:val="0"/>
      <w:marTop w:val="0"/>
      <w:marBottom w:val="0"/>
      <w:divBdr>
        <w:top w:val="none" w:sz="0" w:space="0" w:color="auto"/>
        <w:left w:val="none" w:sz="0" w:space="0" w:color="auto"/>
        <w:bottom w:val="none" w:sz="0" w:space="0" w:color="auto"/>
        <w:right w:val="none" w:sz="0" w:space="0" w:color="auto"/>
      </w:divBdr>
    </w:div>
    <w:div w:id="612639166">
      <w:bodyDiv w:val="1"/>
      <w:marLeft w:val="0"/>
      <w:marRight w:val="0"/>
      <w:marTop w:val="0"/>
      <w:marBottom w:val="0"/>
      <w:divBdr>
        <w:top w:val="none" w:sz="0" w:space="0" w:color="auto"/>
        <w:left w:val="none" w:sz="0" w:space="0" w:color="auto"/>
        <w:bottom w:val="none" w:sz="0" w:space="0" w:color="auto"/>
        <w:right w:val="none" w:sz="0" w:space="0" w:color="auto"/>
      </w:divBdr>
    </w:div>
    <w:div w:id="814840403">
      <w:bodyDiv w:val="1"/>
      <w:marLeft w:val="0"/>
      <w:marRight w:val="0"/>
      <w:marTop w:val="0"/>
      <w:marBottom w:val="0"/>
      <w:divBdr>
        <w:top w:val="none" w:sz="0" w:space="0" w:color="auto"/>
        <w:left w:val="none" w:sz="0" w:space="0" w:color="auto"/>
        <w:bottom w:val="none" w:sz="0" w:space="0" w:color="auto"/>
        <w:right w:val="none" w:sz="0" w:space="0" w:color="auto"/>
      </w:divBdr>
    </w:div>
    <w:div w:id="871113340">
      <w:bodyDiv w:val="1"/>
      <w:marLeft w:val="0"/>
      <w:marRight w:val="0"/>
      <w:marTop w:val="0"/>
      <w:marBottom w:val="0"/>
      <w:divBdr>
        <w:top w:val="none" w:sz="0" w:space="0" w:color="auto"/>
        <w:left w:val="none" w:sz="0" w:space="0" w:color="auto"/>
        <w:bottom w:val="none" w:sz="0" w:space="0" w:color="auto"/>
        <w:right w:val="none" w:sz="0" w:space="0" w:color="auto"/>
      </w:divBdr>
    </w:div>
    <w:div w:id="945305465">
      <w:bodyDiv w:val="1"/>
      <w:marLeft w:val="0"/>
      <w:marRight w:val="0"/>
      <w:marTop w:val="0"/>
      <w:marBottom w:val="0"/>
      <w:divBdr>
        <w:top w:val="none" w:sz="0" w:space="0" w:color="auto"/>
        <w:left w:val="none" w:sz="0" w:space="0" w:color="auto"/>
        <w:bottom w:val="none" w:sz="0" w:space="0" w:color="auto"/>
        <w:right w:val="none" w:sz="0" w:space="0" w:color="auto"/>
      </w:divBdr>
    </w:div>
    <w:div w:id="966661864">
      <w:bodyDiv w:val="1"/>
      <w:marLeft w:val="0"/>
      <w:marRight w:val="0"/>
      <w:marTop w:val="0"/>
      <w:marBottom w:val="0"/>
      <w:divBdr>
        <w:top w:val="none" w:sz="0" w:space="0" w:color="auto"/>
        <w:left w:val="none" w:sz="0" w:space="0" w:color="auto"/>
        <w:bottom w:val="none" w:sz="0" w:space="0" w:color="auto"/>
        <w:right w:val="none" w:sz="0" w:space="0" w:color="auto"/>
      </w:divBdr>
    </w:div>
    <w:div w:id="1178812178">
      <w:bodyDiv w:val="1"/>
      <w:marLeft w:val="0"/>
      <w:marRight w:val="0"/>
      <w:marTop w:val="0"/>
      <w:marBottom w:val="0"/>
      <w:divBdr>
        <w:top w:val="none" w:sz="0" w:space="0" w:color="auto"/>
        <w:left w:val="none" w:sz="0" w:space="0" w:color="auto"/>
        <w:bottom w:val="none" w:sz="0" w:space="0" w:color="auto"/>
        <w:right w:val="none" w:sz="0" w:space="0" w:color="auto"/>
      </w:divBdr>
    </w:div>
    <w:div w:id="1402866792">
      <w:bodyDiv w:val="1"/>
      <w:marLeft w:val="0"/>
      <w:marRight w:val="0"/>
      <w:marTop w:val="0"/>
      <w:marBottom w:val="0"/>
      <w:divBdr>
        <w:top w:val="none" w:sz="0" w:space="0" w:color="auto"/>
        <w:left w:val="none" w:sz="0" w:space="0" w:color="auto"/>
        <w:bottom w:val="none" w:sz="0" w:space="0" w:color="auto"/>
        <w:right w:val="none" w:sz="0" w:space="0" w:color="auto"/>
      </w:divBdr>
    </w:div>
    <w:div w:id="1416587451">
      <w:bodyDiv w:val="1"/>
      <w:marLeft w:val="0"/>
      <w:marRight w:val="0"/>
      <w:marTop w:val="0"/>
      <w:marBottom w:val="0"/>
      <w:divBdr>
        <w:top w:val="none" w:sz="0" w:space="0" w:color="auto"/>
        <w:left w:val="none" w:sz="0" w:space="0" w:color="auto"/>
        <w:bottom w:val="none" w:sz="0" w:space="0" w:color="auto"/>
        <w:right w:val="none" w:sz="0" w:space="0" w:color="auto"/>
      </w:divBdr>
    </w:div>
    <w:div w:id="1959793605">
      <w:bodyDiv w:val="1"/>
      <w:marLeft w:val="0"/>
      <w:marRight w:val="0"/>
      <w:marTop w:val="0"/>
      <w:marBottom w:val="0"/>
      <w:divBdr>
        <w:top w:val="none" w:sz="0" w:space="0" w:color="auto"/>
        <w:left w:val="none" w:sz="0" w:space="0" w:color="auto"/>
        <w:bottom w:val="none" w:sz="0" w:space="0" w:color="auto"/>
        <w:right w:val="none" w:sz="0" w:space="0" w:color="auto"/>
      </w:divBdr>
    </w:div>
    <w:div w:id="2068843948">
      <w:bodyDiv w:val="1"/>
      <w:marLeft w:val="0"/>
      <w:marRight w:val="0"/>
      <w:marTop w:val="0"/>
      <w:marBottom w:val="0"/>
      <w:divBdr>
        <w:top w:val="none" w:sz="0" w:space="0" w:color="auto"/>
        <w:left w:val="none" w:sz="0" w:space="0" w:color="auto"/>
        <w:bottom w:val="none" w:sz="0" w:space="0" w:color="auto"/>
        <w:right w:val="none" w:sz="0" w:space="0" w:color="auto"/>
      </w:divBdr>
    </w:div>
    <w:div w:id="20927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rants.nih.gov/faqs" TargetMode="External"/><Relationship Id="rId5" Type="http://schemas.openxmlformats.org/officeDocument/2006/relationships/settings" Target="settings.xml"/><Relationship Id="rId10" Type="http://schemas.openxmlformats.org/officeDocument/2006/relationships/hyperlink" Target="https://grants.nih.gov/faqs"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April 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2D2703-8AF5-4CD6-A056-4364F26B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2612</Words>
  <Characters>14889</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DISCLOSURE OF INTERESTs</vt:lpstr>
    </vt:vector>
  </TitlesOfParts>
  <Company>Cardiff University</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OF INTERESTs</dc:title>
  <dc:subject/>
  <dc:creator>Catrin Morgan</dc:creator>
  <cp:keywords/>
  <dc:description/>
  <cp:lastModifiedBy>Catrin Morgan</cp:lastModifiedBy>
  <cp:revision>2</cp:revision>
  <dcterms:created xsi:type="dcterms:W3CDTF">2021-03-29T09:12:00Z</dcterms:created>
  <dcterms:modified xsi:type="dcterms:W3CDTF">2021-03-29T09:12:00Z</dcterms:modified>
</cp:coreProperties>
</file>