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632AF" w14:textId="7B2FA5F4" w:rsidR="00DD3142" w:rsidRDefault="00DD3142" w:rsidP="00DD3142">
      <w:pPr>
        <w:jc w:val="center"/>
        <w:outlineLvl w:val="0"/>
        <w:rPr>
          <w:b/>
          <w:sz w:val="68"/>
          <w:szCs w:val="68"/>
        </w:rPr>
      </w:pPr>
      <w:bookmarkStart w:id="0" w:name="_Hlk482701469"/>
      <w:bookmarkEnd w:id="0"/>
      <w:r w:rsidRPr="006B6CB9">
        <w:rPr>
          <w:noProof/>
          <w:sz w:val="28"/>
          <w:szCs w:val="28"/>
          <w:lang w:eastAsia="en-GB"/>
        </w:rPr>
        <w:drawing>
          <wp:anchor distT="0" distB="0" distL="114300" distR="114300" simplePos="0" relativeHeight="251659264" behindDoc="0" locked="0" layoutInCell="1" allowOverlap="1" wp14:anchorId="6B533FA2" wp14:editId="4C6DE4FC">
            <wp:simplePos x="0" y="0"/>
            <wp:positionH relativeFrom="margin">
              <wp:align>center</wp:align>
            </wp:positionH>
            <wp:positionV relativeFrom="paragraph">
              <wp:posOffset>-174868</wp:posOffset>
            </wp:positionV>
            <wp:extent cx="1446910" cy="1390389"/>
            <wp:effectExtent l="0" t="0" r="1270" b="635"/>
            <wp:wrapNone/>
            <wp:docPr id="23" name="Picture 10" descr="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910" cy="1390389"/>
                    </a:xfrm>
                    <a:prstGeom prst="rect">
                      <a:avLst/>
                    </a:prstGeom>
                  </pic:spPr>
                </pic:pic>
              </a:graphicData>
            </a:graphic>
            <wp14:sizeRelH relativeFrom="page">
              <wp14:pctWidth>0</wp14:pctWidth>
            </wp14:sizeRelH>
            <wp14:sizeRelV relativeFrom="page">
              <wp14:pctHeight>0</wp14:pctHeight>
            </wp14:sizeRelV>
          </wp:anchor>
        </w:drawing>
      </w:r>
    </w:p>
    <w:p w14:paraId="2B69EA4F" w14:textId="77777777" w:rsidR="00DD3142" w:rsidRDefault="00DD3142" w:rsidP="00366BFB">
      <w:pPr>
        <w:outlineLvl w:val="0"/>
        <w:rPr>
          <w:b/>
          <w:sz w:val="68"/>
          <w:szCs w:val="68"/>
        </w:rPr>
      </w:pPr>
    </w:p>
    <w:p w14:paraId="3CD8C0A2" w14:textId="77777777" w:rsidR="001777A1" w:rsidRPr="00F415F5" w:rsidRDefault="00366BFB" w:rsidP="00F415F5">
      <w:pPr>
        <w:jc w:val="center"/>
        <w:outlineLvl w:val="0"/>
        <w:rPr>
          <w:sz w:val="64"/>
          <w:szCs w:val="64"/>
        </w:rPr>
      </w:pPr>
      <w:bookmarkStart w:id="1" w:name="_GoBack"/>
      <w:r w:rsidRPr="00F415F5">
        <w:rPr>
          <w:b/>
          <w:sz w:val="64"/>
          <w:szCs w:val="64"/>
        </w:rPr>
        <w:t xml:space="preserve">PICTURE OF ORAL HEALTH </w:t>
      </w:r>
      <w:r w:rsidR="001777A1" w:rsidRPr="00F415F5">
        <w:rPr>
          <w:b/>
          <w:sz w:val="64"/>
          <w:szCs w:val="64"/>
        </w:rPr>
        <w:t>201</w:t>
      </w:r>
      <w:r w:rsidRPr="00F415F5">
        <w:rPr>
          <w:b/>
          <w:sz w:val="64"/>
          <w:szCs w:val="64"/>
        </w:rPr>
        <w:t>7</w:t>
      </w:r>
    </w:p>
    <w:p w14:paraId="6262D706" w14:textId="7B57FDA8" w:rsidR="00DF538B" w:rsidRPr="00F415F5" w:rsidRDefault="00DF538B" w:rsidP="00F415F5">
      <w:pPr>
        <w:outlineLvl w:val="0"/>
        <w:rPr>
          <w:b/>
          <w:sz w:val="48"/>
          <w:szCs w:val="48"/>
        </w:rPr>
      </w:pPr>
      <w:r w:rsidRPr="00F415F5">
        <w:rPr>
          <w:b/>
          <w:sz w:val="48"/>
          <w:szCs w:val="48"/>
        </w:rPr>
        <w:t xml:space="preserve">DENTAL </w:t>
      </w:r>
      <w:r w:rsidR="00146B98" w:rsidRPr="00F415F5">
        <w:rPr>
          <w:b/>
          <w:sz w:val="48"/>
          <w:szCs w:val="48"/>
        </w:rPr>
        <w:t>CARIES IN 5 YEAR OLDS</w:t>
      </w:r>
      <w:r w:rsidR="00F415F5" w:rsidRPr="00F415F5">
        <w:rPr>
          <w:b/>
          <w:sz w:val="48"/>
          <w:szCs w:val="48"/>
        </w:rPr>
        <w:t xml:space="preserve"> (2015/2016)</w:t>
      </w:r>
      <w:r w:rsidR="00146B98" w:rsidRPr="00F415F5">
        <w:rPr>
          <w:b/>
          <w:sz w:val="48"/>
          <w:szCs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74F1B" w14:paraId="7F857FD3" w14:textId="77777777" w:rsidTr="00311206">
        <w:tc>
          <w:tcPr>
            <w:tcW w:w="8931" w:type="dxa"/>
          </w:tcPr>
          <w:bookmarkEnd w:id="1"/>
          <w:p w14:paraId="56147CE6" w14:textId="77777777" w:rsidR="00274F1B" w:rsidRPr="0015304F" w:rsidRDefault="005143DB" w:rsidP="008A4088">
            <w:pPr>
              <w:spacing w:before="120" w:after="240"/>
              <w:rPr>
                <w:sz w:val="32"/>
                <w:szCs w:val="32"/>
              </w:rPr>
            </w:pPr>
            <w:r>
              <w:fldChar w:fldCharType="begin"/>
            </w:r>
            <w:r>
              <w:instrText xml:space="preserve"> HYPERLINK \l "Summary" </w:instrText>
            </w:r>
            <w:r>
              <w:fldChar w:fldCharType="separate"/>
            </w:r>
            <w:r w:rsidR="00274F1B" w:rsidRPr="00EF1B80">
              <w:rPr>
                <w:rStyle w:val="Hyperlink"/>
                <w:sz w:val="32"/>
                <w:szCs w:val="32"/>
              </w:rPr>
              <w:t>Summary</w:t>
            </w:r>
            <w:r>
              <w:rPr>
                <w:rStyle w:val="Hyperlink"/>
                <w:sz w:val="32"/>
                <w:szCs w:val="32"/>
              </w:rPr>
              <w:fldChar w:fldCharType="end"/>
            </w:r>
            <w:r w:rsidR="00274F1B" w:rsidRPr="0015304F">
              <w:rPr>
                <w:sz w:val="32"/>
                <w:szCs w:val="32"/>
              </w:rPr>
              <w:t xml:space="preserve"> </w:t>
            </w:r>
          </w:p>
          <w:p w14:paraId="6B086F99" w14:textId="77777777" w:rsidR="00274F1B" w:rsidRDefault="005143DB" w:rsidP="008A4088">
            <w:pPr>
              <w:spacing w:after="240"/>
              <w:rPr>
                <w:sz w:val="32"/>
                <w:szCs w:val="32"/>
              </w:rPr>
            </w:pPr>
            <w:hyperlink w:anchor="Background" w:history="1">
              <w:r w:rsidR="00F96D31" w:rsidRPr="00EF1B80">
                <w:rPr>
                  <w:rStyle w:val="Hyperlink"/>
                  <w:sz w:val="32"/>
                  <w:szCs w:val="32"/>
                </w:rPr>
                <w:t>Background</w:t>
              </w:r>
            </w:hyperlink>
          </w:p>
          <w:p w14:paraId="3DAE3DF0" w14:textId="1C8EB689" w:rsidR="00274F1B" w:rsidRDefault="005143DB" w:rsidP="008A4088">
            <w:pPr>
              <w:spacing w:after="240"/>
              <w:rPr>
                <w:sz w:val="32"/>
                <w:szCs w:val="32"/>
              </w:rPr>
            </w:pPr>
            <w:hyperlink w:anchor="PreventableDecay" w:history="1">
              <w:r w:rsidR="00274F1B" w:rsidRPr="004608F3">
                <w:rPr>
                  <w:rStyle w:val="Hyperlink"/>
                  <w:sz w:val="32"/>
                  <w:szCs w:val="32"/>
                </w:rPr>
                <w:t>Decay in Wales</w:t>
              </w:r>
            </w:hyperlink>
          </w:p>
          <w:p w14:paraId="608AF5AE" w14:textId="77777777" w:rsidR="00B76757" w:rsidRPr="00B76757" w:rsidRDefault="0046285F" w:rsidP="008A4088">
            <w:pPr>
              <w:spacing w:after="240"/>
              <w:rPr>
                <w:sz w:val="28"/>
                <w:szCs w:val="28"/>
              </w:rPr>
            </w:pPr>
            <w:r>
              <w:rPr>
                <w:sz w:val="32"/>
                <w:szCs w:val="32"/>
              </w:rPr>
              <w:t xml:space="preserve">     </w:t>
            </w:r>
            <w:hyperlink w:anchor="AveragedmftWales" w:history="1">
              <w:r w:rsidR="00B76757" w:rsidRPr="006A05A1">
                <w:rPr>
                  <w:rStyle w:val="Hyperlink"/>
                  <w:sz w:val="28"/>
                  <w:szCs w:val="28"/>
                </w:rPr>
                <w:t>Average decayed</w:t>
              </w:r>
              <w:r w:rsidR="006A05A1" w:rsidRPr="006A05A1">
                <w:rPr>
                  <w:rStyle w:val="Hyperlink"/>
                  <w:sz w:val="28"/>
                  <w:szCs w:val="28"/>
                </w:rPr>
                <w:t xml:space="preserve"> missing and filled teeth (dmft) in Wales</w:t>
              </w:r>
            </w:hyperlink>
          </w:p>
          <w:p w14:paraId="4DFFF7B7" w14:textId="77777777" w:rsidR="00B76757" w:rsidRDefault="00B76757" w:rsidP="008A4088">
            <w:pPr>
              <w:spacing w:after="240"/>
              <w:rPr>
                <w:sz w:val="28"/>
                <w:szCs w:val="28"/>
              </w:rPr>
            </w:pPr>
            <w:r w:rsidRPr="00B76757">
              <w:rPr>
                <w:sz w:val="28"/>
                <w:szCs w:val="28"/>
              </w:rPr>
              <w:t xml:space="preserve">      </w:t>
            </w:r>
            <w:hyperlink w:anchor="PrevalenceWales" w:history="1">
              <w:r w:rsidRPr="003D3591">
                <w:rPr>
                  <w:rStyle w:val="Hyperlink"/>
                  <w:sz w:val="28"/>
                  <w:szCs w:val="28"/>
                </w:rPr>
                <w:t>Prevalence of decay</w:t>
              </w:r>
              <w:r w:rsidR="003D3591" w:rsidRPr="003D3591">
                <w:rPr>
                  <w:rStyle w:val="Hyperlink"/>
                  <w:sz w:val="28"/>
                  <w:szCs w:val="28"/>
                </w:rPr>
                <w:t xml:space="preserve"> in Wales</w:t>
              </w:r>
            </w:hyperlink>
          </w:p>
          <w:p w14:paraId="6FCF09B5" w14:textId="77777777" w:rsidR="001A219B" w:rsidRDefault="00C70A3D" w:rsidP="00C70A3D">
            <w:pPr>
              <w:spacing w:after="240"/>
              <w:ind w:left="317" w:hanging="317"/>
              <w:rPr>
                <w:sz w:val="28"/>
                <w:szCs w:val="28"/>
              </w:rPr>
            </w:pPr>
            <w:r>
              <w:rPr>
                <w:sz w:val="28"/>
                <w:szCs w:val="28"/>
              </w:rPr>
              <w:t xml:space="preserve">      </w:t>
            </w:r>
            <w:hyperlink w:anchor="Meandecaywithdecay" w:history="1">
              <w:r w:rsidR="001A219B" w:rsidRPr="00C70A3D">
                <w:rPr>
                  <w:rStyle w:val="Hyperlink"/>
                  <w:sz w:val="28"/>
                  <w:szCs w:val="28"/>
                </w:rPr>
                <w:t>Decay experience of t</w:t>
              </w:r>
              <w:r w:rsidRPr="00C70A3D">
                <w:rPr>
                  <w:rStyle w:val="Hyperlink"/>
                  <w:sz w:val="28"/>
                  <w:szCs w:val="28"/>
                </w:rPr>
                <w:t>hose with decay affected teeth</w:t>
              </w:r>
            </w:hyperlink>
          </w:p>
          <w:p w14:paraId="74B469F9" w14:textId="77777777" w:rsidR="00F76A56" w:rsidRPr="00C70A3D" w:rsidRDefault="00F76A56" w:rsidP="00C70A3D">
            <w:pPr>
              <w:spacing w:after="240"/>
              <w:ind w:left="317" w:hanging="317"/>
              <w:rPr>
                <w:sz w:val="28"/>
                <w:szCs w:val="28"/>
              </w:rPr>
            </w:pPr>
            <w:r>
              <w:rPr>
                <w:sz w:val="28"/>
                <w:szCs w:val="28"/>
              </w:rPr>
              <w:t xml:space="preserve">      </w:t>
            </w:r>
            <w:hyperlink w:anchor="deprivation1" w:history="1">
              <w:r w:rsidRPr="00F76A56">
                <w:rPr>
                  <w:rStyle w:val="Hyperlink"/>
                  <w:sz w:val="28"/>
                  <w:szCs w:val="28"/>
                </w:rPr>
                <w:t>Caries by quintile of deprivation</w:t>
              </w:r>
            </w:hyperlink>
          </w:p>
          <w:p w14:paraId="48527429" w14:textId="77777777" w:rsidR="001A219B" w:rsidRPr="00B76757" w:rsidRDefault="001A219B" w:rsidP="008A4088">
            <w:pPr>
              <w:spacing w:after="240"/>
              <w:rPr>
                <w:sz w:val="28"/>
                <w:szCs w:val="28"/>
              </w:rPr>
            </w:pPr>
          </w:p>
          <w:p w14:paraId="1E3F28BB" w14:textId="29FD5CC5" w:rsidR="00274F1B" w:rsidRDefault="005143DB" w:rsidP="006A1B6E">
            <w:pPr>
              <w:spacing w:after="240"/>
              <w:rPr>
                <w:sz w:val="32"/>
                <w:szCs w:val="32"/>
              </w:rPr>
            </w:pPr>
            <w:hyperlink w:anchor="PreventableLHB" w:history="1">
              <w:r w:rsidR="00274F1B" w:rsidRPr="00821684">
                <w:rPr>
                  <w:rStyle w:val="Hyperlink"/>
                  <w:sz w:val="32"/>
                  <w:szCs w:val="32"/>
                </w:rPr>
                <w:t>Decay in Local Health Boards</w:t>
              </w:r>
            </w:hyperlink>
          </w:p>
          <w:p w14:paraId="780A4D9F" w14:textId="77777777" w:rsidR="00821684" w:rsidRPr="005A2102" w:rsidRDefault="00B37CAD" w:rsidP="006A1B6E">
            <w:pPr>
              <w:spacing w:after="240"/>
              <w:rPr>
                <w:sz w:val="28"/>
                <w:szCs w:val="28"/>
              </w:rPr>
            </w:pPr>
            <w:r w:rsidRPr="00B37CAD">
              <w:rPr>
                <w:sz w:val="32"/>
                <w:szCs w:val="32"/>
              </w:rPr>
              <w:t xml:space="preserve">     </w:t>
            </w:r>
            <w:bookmarkStart w:id="2" w:name="_Hlk482704801"/>
            <w:r w:rsidR="005A2102" w:rsidRPr="005A2102">
              <w:rPr>
                <w:sz w:val="28"/>
                <w:szCs w:val="28"/>
              </w:rPr>
              <w:fldChar w:fldCharType="begin"/>
            </w:r>
            <w:r w:rsidR="005A2102" w:rsidRPr="005A2102">
              <w:rPr>
                <w:sz w:val="28"/>
                <w:szCs w:val="28"/>
              </w:rPr>
              <w:instrText xml:space="preserve"> HYPERLINK  \l "AveragedmftLHB" </w:instrText>
            </w:r>
            <w:r w:rsidR="005A2102" w:rsidRPr="005A2102">
              <w:rPr>
                <w:sz w:val="28"/>
                <w:szCs w:val="28"/>
              </w:rPr>
              <w:fldChar w:fldCharType="separate"/>
            </w:r>
            <w:r w:rsidRPr="005A2102">
              <w:rPr>
                <w:rStyle w:val="Hyperlink"/>
                <w:sz w:val="28"/>
                <w:szCs w:val="28"/>
              </w:rPr>
              <w:t xml:space="preserve">Average decayed missing and filled teeth (dmft) in </w:t>
            </w:r>
            <w:r w:rsidR="005A2102" w:rsidRPr="005A2102">
              <w:rPr>
                <w:rStyle w:val="Hyperlink"/>
                <w:sz w:val="28"/>
                <w:szCs w:val="28"/>
              </w:rPr>
              <w:t>LHBs</w:t>
            </w:r>
            <w:r w:rsidR="005A2102" w:rsidRPr="005A2102">
              <w:rPr>
                <w:sz w:val="28"/>
                <w:szCs w:val="28"/>
              </w:rPr>
              <w:fldChar w:fldCharType="end"/>
            </w:r>
          </w:p>
          <w:p w14:paraId="3E50B5BD" w14:textId="77777777" w:rsidR="005A2102" w:rsidRDefault="005A2102" w:rsidP="006A1B6E">
            <w:pPr>
              <w:spacing w:after="240"/>
              <w:rPr>
                <w:sz w:val="28"/>
                <w:szCs w:val="28"/>
              </w:rPr>
            </w:pPr>
            <w:r>
              <w:rPr>
                <w:sz w:val="28"/>
                <w:szCs w:val="28"/>
              </w:rPr>
              <w:t xml:space="preserve">      </w:t>
            </w:r>
            <w:hyperlink w:anchor="PrevalenceLHBs" w:history="1">
              <w:r w:rsidRPr="003D3591">
                <w:rPr>
                  <w:rStyle w:val="Hyperlink"/>
                  <w:sz w:val="28"/>
                  <w:szCs w:val="28"/>
                </w:rPr>
                <w:t xml:space="preserve">Prevalence of decay in </w:t>
              </w:r>
              <w:r>
                <w:rPr>
                  <w:rStyle w:val="Hyperlink"/>
                  <w:sz w:val="28"/>
                  <w:szCs w:val="28"/>
                </w:rPr>
                <w:t>LHBs</w:t>
              </w:r>
            </w:hyperlink>
          </w:p>
          <w:p w14:paraId="3958D992" w14:textId="77777777" w:rsidR="00821684" w:rsidRPr="008721BA" w:rsidRDefault="008721BA" w:rsidP="006A1B6E">
            <w:pPr>
              <w:spacing w:after="240"/>
              <w:rPr>
                <w:sz w:val="28"/>
                <w:szCs w:val="28"/>
              </w:rPr>
            </w:pPr>
            <w:r>
              <w:rPr>
                <w:sz w:val="24"/>
                <w:szCs w:val="24"/>
              </w:rPr>
              <w:t xml:space="preserve">      </w:t>
            </w:r>
            <w:hyperlink w:anchor="MeandecaywithdecayLHB" w:history="1">
              <w:r w:rsidRPr="008721BA">
                <w:rPr>
                  <w:rStyle w:val="Hyperlink"/>
                  <w:sz w:val="28"/>
                  <w:szCs w:val="28"/>
                </w:rPr>
                <w:t>Decay experience of those with decay affected teeth</w:t>
              </w:r>
              <w:bookmarkEnd w:id="2"/>
            </w:hyperlink>
          </w:p>
          <w:p w14:paraId="209F7B93" w14:textId="650D3A55" w:rsidR="00274F1B" w:rsidRDefault="005143DB" w:rsidP="006A1B6E">
            <w:pPr>
              <w:spacing w:after="240"/>
              <w:rPr>
                <w:sz w:val="32"/>
                <w:szCs w:val="32"/>
              </w:rPr>
            </w:pPr>
            <w:hyperlink w:anchor="PreventableUA" w:history="1">
              <w:r w:rsidR="00274F1B" w:rsidRPr="008C6982">
                <w:rPr>
                  <w:rStyle w:val="Hyperlink"/>
                  <w:sz w:val="32"/>
                  <w:szCs w:val="32"/>
                </w:rPr>
                <w:t>Decay in Unitary Authorities</w:t>
              </w:r>
            </w:hyperlink>
          </w:p>
          <w:p w14:paraId="21547F76" w14:textId="77777777" w:rsidR="00274F1B" w:rsidRDefault="005143DB" w:rsidP="00A81EBA">
            <w:pPr>
              <w:spacing w:after="240"/>
              <w:rPr>
                <w:sz w:val="32"/>
                <w:szCs w:val="32"/>
              </w:rPr>
            </w:pPr>
            <w:hyperlink w:anchor="D2SImpact" w:history="1">
              <w:r w:rsidR="00274F1B" w:rsidRPr="008047D7">
                <w:rPr>
                  <w:rStyle w:val="Hyperlink"/>
                  <w:sz w:val="32"/>
                  <w:szCs w:val="32"/>
                </w:rPr>
                <w:t>Designed to Smile Impact</w:t>
              </w:r>
            </w:hyperlink>
          </w:p>
          <w:p w14:paraId="41AA892A" w14:textId="77777777" w:rsidR="008047D7" w:rsidRPr="008047D7" w:rsidRDefault="005143DB" w:rsidP="008047D7">
            <w:pPr>
              <w:spacing w:after="240"/>
              <w:ind w:left="720"/>
              <w:rPr>
                <w:sz w:val="28"/>
                <w:szCs w:val="28"/>
              </w:rPr>
            </w:pPr>
            <w:hyperlink w:anchor="D2Sschools" w:history="1">
              <w:r w:rsidR="008047D7" w:rsidRPr="008047D7">
                <w:rPr>
                  <w:rStyle w:val="Hyperlink"/>
                  <w:sz w:val="28"/>
                  <w:szCs w:val="28"/>
                </w:rPr>
                <w:t>Schools Involved in Designed to Smile Programme</w:t>
              </w:r>
            </w:hyperlink>
          </w:p>
          <w:p w14:paraId="465CEC0B" w14:textId="77777777" w:rsidR="00274F1B" w:rsidRDefault="00274F1B" w:rsidP="008A4088">
            <w:pPr>
              <w:spacing w:after="240"/>
              <w:rPr>
                <w:sz w:val="32"/>
                <w:szCs w:val="32"/>
              </w:rPr>
            </w:pPr>
            <w:r>
              <w:rPr>
                <w:sz w:val="32"/>
                <w:szCs w:val="32"/>
              </w:rPr>
              <w:lastRenderedPageBreak/>
              <w:t>Appendices</w:t>
            </w:r>
          </w:p>
          <w:p w14:paraId="75D84F63" w14:textId="77777777" w:rsidR="00283CD9" w:rsidRDefault="005143DB" w:rsidP="00311206">
            <w:pPr>
              <w:spacing w:after="240"/>
              <w:ind w:left="720"/>
              <w:rPr>
                <w:sz w:val="28"/>
                <w:szCs w:val="28"/>
              </w:rPr>
            </w:pPr>
            <w:hyperlink w:anchor="APPENDIX1" w:history="1">
              <w:r w:rsidR="00283CD9" w:rsidRPr="00311206">
                <w:rPr>
                  <w:rStyle w:val="Hyperlink"/>
                  <w:sz w:val="28"/>
                  <w:szCs w:val="28"/>
                </w:rPr>
                <w:t>Appendix 1 – %dmft&gt;0 by Unitary Authority, 2007/08 to 2015/16</w:t>
              </w:r>
            </w:hyperlink>
          </w:p>
          <w:p w14:paraId="066A90AA" w14:textId="77777777" w:rsidR="00311206" w:rsidRDefault="005143DB" w:rsidP="00311206">
            <w:pPr>
              <w:spacing w:after="240"/>
              <w:ind w:left="720"/>
              <w:rPr>
                <w:sz w:val="28"/>
                <w:szCs w:val="28"/>
              </w:rPr>
            </w:pPr>
            <w:hyperlink w:anchor="APPENDIX2" w:history="1">
              <w:r w:rsidR="00311206" w:rsidRPr="00311206">
                <w:rPr>
                  <w:rStyle w:val="Hyperlink"/>
                  <w:sz w:val="28"/>
                  <w:szCs w:val="28"/>
                </w:rPr>
                <w:t>Appendix 2 Key Dental Caries Variables from the Survey of 5 year olds 2015/16</w:t>
              </w:r>
            </w:hyperlink>
          </w:p>
          <w:p w14:paraId="413C7B6F" w14:textId="77777777" w:rsidR="00311206" w:rsidRDefault="005143DB" w:rsidP="00311206">
            <w:pPr>
              <w:spacing w:after="240"/>
              <w:ind w:left="720"/>
              <w:rPr>
                <w:sz w:val="28"/>
                <w:szCs w:val="28"/>
              </w:rPr>
            </w:pPr>
            <w:hyperlink w:anchor="APPENDIX3" w:history="1">
              <w:r w:rsidR="00311206" w:rsidRPr="00311206">
                <w:rPr>
                  <w:rStyle w:val="Hyperlink"/>
                  <w:sz w:val="28"/>
                  <w:szCs w:val="28"/>
                </w:rPr>
                <w:t>Appendix 3 Key Dental Caries Variables from the Survey of 5 year olds 2014/15</w:t>
              </w:r>
            </w:hyperlink>
          </w:p>
          <w:p w14:paraId="48583B93" w14:textId="77777777" w:rsidR="00311206" w:rsidRDefault="005143DB" w:rsidP="00311206">
            <w:pPr>
              <w:spacing w:after="240"/>
              <w:ind w:left="720"/>
              <w:rPr>
                <w:sz w:val="28"/>
                <w:szCs w:val="28"/>
              </w:rPr>
            </w:pPr>
            <w:hyperlink w:anchor="APPENDIX4" w:history="1">
              <w:r w:rsidR="00311206" w:rsidRPr="00311206">
                <w:rPr>
                  <w:rStyle w:val="Hyperlink"/>
                  <w:sz w:val="28"/>
                  <w:szCs w:val="28"/>
                </w:rPr>
                <w:t>Appendix 4 Key Dental Caries Variables from the Survey of 5 year olds 2011/12</w:t>
              </w:r>
            </w:hyperlink>
          </w:p>
          <w:p w14:paraId="7BF23F9B" w14:textId="77777777" w:rsidR="00311206" w:rsidRDefault="005143DB" w:rsidP="00311206">
            <w:pPr>
              <w:spacing w:after="240"/>
              <w:ind w:left="720"/>
              <w:rPr>
                <w:sz w:val="28"/>
                <w:szCs w:val="28"/>
              </w:rPr>
            </w:pPr>
            <w:hyperlink w:anchor="APPENDIX5" w:history="1">
              <w:r w:rsidR="00311206" w:rsidRPr="00311206">
                <w:rPr>
                  <w:rStyle w:val="Hyperlink"/>
                  <w:sz w:val="28"/>
                  <w:szCs w:val="28"/>
                </w:rPr>
                <w:t>Appendix 5 Key Dental Caries Variables from the Survey of 5 year olds 2007/08</w:t>
              </w:r>
            </w:hyperlink>
            <w:r w:rsidR="00311206">
              <w:rPr>
                <w:sz w:val="28"/>
                <w:szCs w:val="28"/>
              </w:rPr>
              <w:t xml:space="preserve"> </w:t>
            </w:r>
          </w:p>
          <w:p w14:paraId="177F08E9" w14:textId="77777777" w:rsidR="00283CD9" w:rsidRDefault="005143DB" w:rsidP="00311206">
            <w:pPr>
              <w:spacing w:after="240"/>
              <w:ind w:left="720"/>
              <w:rPr>
                <w:b/>
                <w:sz w:val="32"/>
                <w:szCs w:val="32"/>
              </w:rPr>
            </w:pPr>
            <w:hyperlink w:anchor="APPENDIX6" w:history="1">
              <w:r w:rsidR="00311206" w:rsidRPr="00311206">
                <w:rPr>
                  <w:rStyle w:val="Hyperlink"/>
                  <w:sz w:val="28"/>
                  <w:szCs w:val="28"/>
                </w:rPr>
                <w:t>Appendix 6 Interpretation of historical survey data</w:t>
              </w:r>
            </w:hyperlink>
          </w:p>
        </w:tc>
      </w:tr>
    </w:tbl>
    <w:p w14:paraId="3F85AFCC" w14:textId="77777777" w:rsidR="006B6CB9" w:rsidRPr="008D0ECA" w:rsidRDefault="006B6CB9" w:rsidP="008D0ECA">
      <w:pPr>
        <w:spacing w:before="480"/>
        <w:rPr>
          <w:b/>
          <w:sz w:val="36"/>
          <w:szCs w:val="36"/>
        </w:rPr>
      </w:pPr>
      <w:r w:rsidRPr="008D0ECA">
        <w:rPr>
          <w:b/>
          <w:sz w:val="36"/>
          <w:szCs w:val="36"/>
        </w:rPr>
        <w:lastRenderedPageBreak/>
        <w:t>Authors</w:t>
      </w:r>
    </w:p>
    <w:p w14:paraId="06B5FF8D" w14:textId="77777777" w:rsidR="006B6CB9" w:rsidRDefault="006B6CB9" w:rsidP="006B6CB9">
      <w:pPr>
        <w:spacing w:after="120" w:line="240" w:lineRule="auto"/>
        <w:rPr>
          <w:sz w:val="24"/>
          <w:szCs w:val="24"/>
        </w:rPr>
      </w:pPr>
      <w:r w:rsidRPr="00006B76">
        <w:rPr>
          <w:sz w:val="24"/>
          <w:szCs w:val="24"/>
        </w:rPr>
        <w:t xml:space="preserve">Maria Morgan, </w:t>
      </w:r>
      <w:r w:rsidR="006D4765">
        <w:rPr>
          <w:sz w:val="24"/>
          <w:szCs w:val="24"/>
        </w:rPr>
        <w:t xml:space="preserve">Senior Lecturer, </w:t>
      </w:r>
      <w:r>
        <w:rPr>
          <w:sz w:val="24"/>
          <w:szCs w:val="24"/>
        </w:rPr>
        <w:t>Welsh Oral Health Information Unit, Cardiff University.</w:t>
      </w:r>
    </w:p>
    <w:p w14:paraId="0F1980EB" w14:textId="77777777" w:rsidR="006B6CB9" w:rsidRDefault="006B6CB9" w:rsidP="006B6CB9">
      <w:pPr>
        <w:spacing w:line="240" w:lineRule="auto"/>
        <w:contextualSpacing/>
        <w:rPr>
          <w:sz w:val="24"/>
          <w:szCs w:val="24"/>
        </w:rPr>
      </w:pPr>
      <w:r>
        <w:rPr>
          <w:sz w:val="24"/>
          <w:szCs w:val="24"/>
        </w:rPr>
        <w:t>Ni</w:t>
      </w:r>
      <w:r w:rsidR="006D4765">
        <w:rPr>
          <w:sz w:val="24"/>
          <w:szCs w:val="24"/>
        </w:rPr>
        <w:t>gel Monaghan, Honorary Senior Lecturer, Cardiff University</w:t>
      </w:r>
      <w:r>
        <w:rPr>
          <w:sz w:val="24"/>
          <w:szCs w:val="24"/>
        </w:rPr>
        <w:t>.</w:t>
      </w:r>
    </w:p>
    <w:p w14:paraId="60736FCA" w14:textId="77777777" w:rsidR="006B6CB9" w:rsidRDefault="006B6CB9" w:rsidP="006B6CB9">
      <w:pPr>
        <w:ind w:right="-755"/>
        <w:rPr>
          <w:sz w:val="24"/>
          <w:szCs w:val="24"/>
        </w:rPr>
      </w:pPr>
    </w:p>
    <w:p w14:paraId="47948FF8" w14:textId="77777777" w:rsidR="006B6CB9" w:rsidRPr="00006B76" w:rsidRDefault="005143DB" w:rsidP="006B6CB9">
      <w:pPr>
        <w:spacing w:after="360"/>
        <w:ind w:right="2363"/>
      </w:pPr>
      <w:hyperlink r:id="rId9" w:history="1">
        <w:r w:rsidR="006B6CB9" w:rsidRPr="00006B76">
          <w:rPr>
            <w:rStyle w:val="Hyperlink"/>
          </w:rPr>
          <w:t>http://www.cardiff.ac.uk/dentl/research/themes/appliedclinicalresearch/epidemiology/oralhealth/index.html</w:t>
        </w:r>
      </w:hyperlink>
    </w:p>
    <w:p w14:paraId="2963F30A" w14:textId="77777777" w:rsidR="006B6CB9" w:rsidRPr="00006B76" w:rsidRDefault="006B6CB9" w:rsidP="006B6CB9">
      <w:pPr>
        <w:ind w:right="-897"/>
        <w:rPr>
          <w:sz w:val="24"/>
          <w:szCs w:val="24"/>
        </w:rPr>
      </w:pPr>
      <w:r>
        <w:rPr>
          <w:sz w:val="24"/>
          <w:szCs w:val="24"/>
        </w:rPr>
        <w:t>©Cardiff</w:t>
      </w:r>
      <w:r w:rsidR="006D4765">
        <w:rPr>
          <w:sz w:val="24"/>
          <w:szCs w:val="24"/>
        </w:rPr>
        <w:t xml:space="preserve"> University</w:t>
      </w:r>
      <w:r>
        <w:rPr>
          <w:sz w:val="24"/>
          <w:szCs w:val="24"/>
        </w:rPr>
        <w:t xml:space="preserve">, </w:t>
      </w:r>
      <w:r w:rsidR="00274F1B">
        <w:rPr>
          <w:sz w:val="24"/>
          <w:szCs w:val="24"/>
        </w:rPr>
        <w:t>June</w:t>
      </w:r>
      <w:r w:rsidR="006D4765">
        <w:rPr>
          <w:sz w:val="24"/>
          <w:szCs w:val="24"/>
        </w:rPr>
        <w:t xml:space="preserve"> 201</w:t>
      </w:r>
      <w:r w:rsidR="00274F1B">
        <w:rPr>
          <w:sz w:val="24"/>
          <w:szCs w:val="24"/>
        </w:rPr>
        <w:t>7</w:t>
      </w:r>
    </w:p>
    <w:p w14:paraId="04939D36" w14:textId="77777777" w:rsidR="00B37221" w:rsidRDefault="00B37221">
      <w:pPr>
        <w:rPr>
          <w:b/>
          <w:sz w:val="28"/>
          <w:szCs w:val="28"/>
          <w:highlight w:val="yellow"/>
        </w:rPr>
      </w:pPr>
      <w:bookmarkStart w:id="3" w:name="Summary"/>
      <w:r>
        <w:rPr>
          <w:b/>
          <w:sz w:val="28"/>
          <w:szCs w:val="28"/>
          <w:highlight w:val="yellow"/>
        </w:rPr>
        <w:br w:type="page"/>
      </w:r>
    </w:p>
    <w:p w14:paraId="7A6F8738" w14:textId="5D1B8A40" w:rsidR="000F5254" w:rsidRDefault="000F5254" w:rsidP="002F2A6E">
      <w:pPr>
        <w:outlineLvl w:val="0"/>
        <w:rPr>
          <w:b/>
          <w:sz w:val="28"/>
          <w:szCs w:val="28"/>
        </w:rPr>
      </w:pPr>
      <w:r w:rsidRPr="00B37221">
        <w:rPr>
          <w:b/>
          <w:sz w:val="28"/>
          <w:szCs w:val="28"/>
        </w:rPr>
        <w:lastRenderedPageBreak/>
        <w:t>Summary</w:t>
      </w:r>
    </w:p>
    <w:p w14:paraId="2E02C509" w14:textId="2936D4DE" w:rsidR="00B37221" w:rsidRDefault="00B37221" w:rsidP="00B37221">
      <w:pPr>
        <w:spacing w:after="240"/>
        <w:outlineLvl w:val="0"/>
        <w:rPr>
          <w:sz w:val="24"/>
          <w:szCs w:val="24"/>
        </w:rPr>
      </w:pPr>
      <w:r w:rsidRPr="00B37221">
        <w:rPr>
          <w:sz w:val="24"/>
          <w:szCs w:val="24"/>
        </w:rPr>
        <w:t>Caries</w:t>
      </w:r>
      <w:r>
        <w:rPr>
          <w:sz w:val="24"/>
          <w:szCs w:val="24"/>
        </w:rPr>
        <w:t xml:space="preserve"> in school year 1 children (aged 5-6)</w:t>
      </w:r>
      <w:r w:rsidRPr="00B37221">
        <w:rPr>
          <w:sz w:val="24"/>
          <w:szCs w:val="24"/>
        </w:rPr>
        <w:t xml:space="preserve"> continues to </w:t>
      </w:r>
      <w:r>
        <w:rPr>
          <w:sz w:val="24"/>
          <w:szCs w:val="24"/>
        </w:rPr>
        <w:t>fall across Wales. Only Cwm Taf LHB has not seen a statistically and clinically significant reduction in caries experience amongst this age group.</w:t>
      </w:r>
    </w:p>
    <w:p w14:paraId="4D113BFA" w14:textId="5BEF806A" w:rsidR="00B37221" w:rsidRPr="00B37221" w:rsidRDefault="00B37221" w:rsidP="00B37221">
      <w:pPr>
        <w:spacing w:after="240"/>
        <w:outlineLvl w:val="0"/>
        <w:rPr>
          <w:sz w:val="24"/>
          <w:szCs w:val="24"/>
        </w:rPr>
      </w:pPr>
      <w:r>
        <w:rPr>
          <w:sz w:val="24"/>
          <w:szCs w:val="24"/>
        </w:rPr>
        <w:t xml:space="preserve">In 2007/08 14 out of a class of 30 children would have decay experience, and these 14 children would have an average of 4.2 teeth affected. BY 2015/16 this had fallen to 10 children out of a class of 30, and these 10 would have an average of 3.6 decayed teeth. </w:t>
      </w:r>
    </w:p>
    <w:bookmarkEnd w:id="3"/>
    <w:p w14:paraId="08023181" w14:textId="4D99CF0E" w:rsidR="00EA3F1E" w:rsidRPr="00B37221" w:rsidRDefault="001B247E" w:rsidP="005C0D03">
      <w:pPr>
        <w:spacing w:after="240"/>
        <w:rPr>
          <w:sz w:val="24"/>
          <w:szCs w:val="24"/>
        </w:rPr>
      </w:pPr>
      <w:r w:rsidRPr="00B37221">
        <w:rPr>
          <w:sz w:val="24"/>
          <w:szCs w:val="24"/>
        </w:rPr>
        <w:t xml:space="preserve">Dental disease levels in children </w:t>
      </w:r>
      <w:r w:rsidR="00D91E3B" w:rsidRPr="00B37221">
        <w:rPr>
          <w:sz w:val="24"/>
          <w:szCs w:val="24"/>
        </w:rPr>
        <w:t>i</w:t>
      </w:r>
      <w:r w:rsidRPr="00B37221">
        <w:rPr>
          <w:sz w:val="24"/>
          <w:szCs w:val="24"/>
        </w:rPr>
        <w:t xml:space="preserve">n Wales </w:t>
      </w:r>
      <w:r w:rsidR="00D91E3B" w:rsidRPr="00B37221">
        <w:rPr>
          <w:sz w:val="24"/>
          <w:szCs w:val="24"/>
        </w:rPr>
        <w:t xml:space="preserve">continue to improve </w:t>
      </w:r>
      <w:r w:rsidRPr="00B37221">
        <w:rPr>
          <w:sz w:val="24"/>
          <w:szCs w:val="24"/>
        </w:rPr>
        <w:t>across all social groups</w:t>
      </w:r>
      <w:r w:rsidRPr="00616B37">
        <w:rPr>
          <w:sz w:val="24"/>
          <w:szCs w:val="24"/>
        </w:rPr>
        <w:t xml:space="preserve">. </w:t>
      </w:r>
      <w:r w:rsidR="00616B37" w:rsidRPr="00616B37">
        <w:rPr>
          <w:sz w:val="24"/>
          <w:szCs w:val="24"/>
        </w:rPr>
        <w:t xml:space="preserve"> In absolute terms the most deprived quintile have seen the largest reduction in decay prevalence</w:t>
      </w:r>
      <w:r w:rsidR="00616B37">
        <w:rPr>
          <w:sz w:val="24"/>
          <w:szCs w:val="24"/>
        </w:rPr>
        <w:t xml:space="preserve"> (by 15%) and mean dmft score (by 0.6)</w:t>
      </w:r>
      <w:r w:rsidR="00616B37" w:rsidRPr="00616B37">
        <w:rPr>
          <w:sz w:val="24"/>
          <w:szCs w:val="24"/>
        </w:rPr>
        <w:t>.</w:t>
      </w:r>
      <w:r w:rsidRPr="00616B37">
        <w:rPr>
          <w:sz w:val="24"/>
          <w:szCs w:val="24"/>
        </w:rPr>
        <w:t xml:space="preserve"> </w:t>
      </w:r>
      <w:r w:rsidR="00ED4BA4" w:rsidRPr="00616B37">
        <w:rPr>
          <w:sz w:val="24"/>
          <w:szCs w:val="24"/>
        </w:rPr>
        <w:t>T</w:t>
      </w:r>
      <w:r w:rsidR="004572B0" w:rsidRPr="00616B37">
        <w:rPr>
          <w:sz w:val="24"/>
          <w:szCs w:val="24"/>
        </w:rPr>
        <w:t>here is</w:t>
      </w:r>
      <w:r w:rsidR="00ED4BA4" w:rsidRPr="00616B37">
        <w:rPr>
          <w:sz w:val="24"/>
          <w:szCs w:val="24"/>
        </w:rPr>
        <w:t xml:space="preserve"> no</w:t>
      </w:r>
      <w:r w:rsidRPr="00616B37">
        <w:rPr>
          <w:sz w:val="24"/>
          <w:szCs w:val="24"/>
        </w:rPr>
        <w:t xml:space="preserve"> evidence of widening inequalities</w:t>
      </w:r>
      <w:r w:rsidR="00D91E3B" w:rsidRPr="00616B37">
        <w:rPr>
          <w:sz w:val="24"/>
          <w:szCs w:val="24"/>
        </w:rPr>
        <w:t xml:space="preserve"> here</w:t>
      </w:r>
      <w:r w:rsidRPr="00616B37">
        <w:rPr>
          <w:sz w:val="24"/>
          <w:szCs w:val="24"/>
        </w:rPr>
        <w:t xml:space="preserve">. </w:t>
      </w:r>
    </w:p>
    <w:p w14:paraId="5731E705" w14:textId="169E49FC" w:rsidR="007F7CFF" w:rsidRPr="00616B37" w:rsidRDefault="007F7CFF" w:rsidP="005C0D03">
      <w:pPr>
        <w:spacing w:after="240"/>
        <w:rPr>
          <w:sz w:val="24"/>
          <w:szCs w:val="24"/>
        </w:rPr>
      </w:pPr>
      <w:r w:rsidRPr="00616B37">
        <w:rPr>
          <w:sz w:val="24"/>
          <w:szCs w:val="24"/>
        </w:rPr>
        <w:t xml:space="preserve">The </w:t>
      </w:r>
      <w:r w:rsidR="00616B37">
        <w:rPr>
          <w:sz w:val="24"/>
          <w:szCs w:val="24"/>
        </w:rPr>
        <w:t>fact that children attending schools in the most deprived quintile are those seeing the greatest improvements in decay experience is likely to be due to the impact of the Designed to Smile programme. The data from the four surveys also demonstrates that Designed to Smile is targeting children with higher levels of decay.</w:t>
      </w:r>
    </w:p>
    <w:p w14:paraId="6DE14E26" w14:textId="51AE9D51" w:rsidR="001B247E" w:rsidRDefault="00A65261">
      <w:pPr>
        <w:rPr>
          <w:sz w:val="24"/>
          <w:szCs w:val="24"/>
        </w:rPr>
      </w:pPr>
      <w:r>
        <w:rPr>
          <w:sz w:val="24"/>
          <w:szCs w:val="24"/>
        </w:rPr>
        <w:t>Although there have been great improvements in caries in school year 1 children over the last 9 years, there is plenty of scope for further improvement for the 1/3</w:t>
      </w:r>
      <w:r w:rsidRPr="00A65261">
        <w:rPr>
          <w:sz w:val="24"/>
          <w:szCs w:val="24"/>
          <w:vertAlign w:val="superscript"/>
        </w:rPr>
        <w:t>rd</w:t>
      </w:r>
      <w:r>
        <w:rPr>
          <w:sz w:val="24"/>
          <w:szCs w:val="24"/>
        </w:rPr>
        <w:t xml:space="preserve"> of children still experiencing tooth decay.</w:t>
      </w:r>
      <w:r w:rsidR="001B247E">
        <w:rPr>
          <w:sz w:val="24"/>
          <w:szCs w:val="24"/>
        </w:rPr>
        <w:br w:type="page"/>
      </w:r>
    </w:p>
    <w:p w14:paraId="778006CE" w14:textId="77777777" w:rsidR="008F0D02" w:rsidRPr="0031429F" w:rsidRDefault="00F96D31" w:rsidP="002F2A6E">
      <w:pPr>
        <w:outlineLvl w:val="0"/>
        <w:rPr>
          <w:b/>
          <w:sz w:val="28"/>
          <w:szCs w:val="28"/>
        </w:rPr>
      </w:pPr>
      <w:bookmarkStart w:id="4" w:name="Background"/>
      <w:r>
        <w:rPr>
          <w:b/>
          <w:sz w:val="28"/>
          <w:szCs w:val="28"/>
        </w:rPr>
        <w:lastRenderedPageBreak/>
        <w:t>Background</w:t>
      </w:r>
    </w:p>
    <w:bookmarkEnd w:id="4"/>
    <w:p w14:paraId="0592088C" w14:textId="5CF9A24D" w:rsidR="00BE4E7B" w:rsidRPr="00C30749" w:rsidRDefault="004D73B4" w:rsidP="00BE4E7B">
      <w:pPr>
        <w:rPr>
          <w:sz w:val="24"/>
          <w:szCs w:val="24"/>
        </w:rPr>
      </w:pPr>
      <w:r>
        <w:rPr>
          <w:sz w:val="24"/>
          <w:szCs w:val="24"/>
        </w:rPr>
        <w:t>T</w:t>
      </w:r>
      <w:r w:rsidR="00106EF7">
        <w:rPr>
          <w:sz w:val="24"/>
          <w:szCs w:val="24"/>
        </w:rPr>
        <w:t xml:space="preserve">hese </w:t>
      </w:r>
      <w:r>
        <w:rPr>
          <w:sz w:val="24"/>
          <w:szCs w:val="24"/>
        </w:rPr>
        <w:t>pages present</w:t>
      </w:r>
      <w:r w:rsidR="00BE4E7B">
        <w:rPr>
          <w:sz w:val="24"/>
          <w:szCs w:val="24"/>
        </w:rPr>
        <w:t xml:space="preserve"> data from a </w:t>
      </w:r>
      <w:r w:rsidR="00245DF3">
        <w:rPr>
          <w:sz w:val="24"/>
          <w:szCs w:val="24"/>
        </w:rPr>
        <w:t xml:space="preserve">dental </w:t>
      </w:r>
      <w:r w:rsidR="00BE4E7B">
        <w:rPr>
          <w:sz w:val="24"/>
          <w:szCs w:val="24"/>
        </w:rPr>
        <w:t xml:space="preserve">survey of </w:t>
      </w:r>
      <w:r w:rsidR="00BE4E7B" w:rsidRPr="00C30749">
        <w:rPr>
          <w:sz w:val="24"/>
          <w:szCs w:val="24"/>
        </w:rPr>
        <w:t>school year 1 children (approximately 5-year</w:t>
      </w:r>
      <w:r w:rsidR="00BE4E7B">
        <w:rPr>
          <w:sz w:val="24"/>
          <w:szCs w:val="24"/>
        </w:rPr>
        <w:t>s of age</w:t>
      </w:r>
      <w:r w:rsidR="00BE4E7B" w:rsidRPr="00C30749">
        <w:rPr>
          <w:sz w:val="24"/>
          <w:szCs w:val="24"/>
        </w:rPr>
        <w:t>)</w:t>
      </w:r>
      <w:r w:rsidR="00BE4E7B">
        <w:rPr>
          <w:sz w:val="24"/>
          <w:szCs w:val="24"/>
        </w:rPr>
        <w:t xml:space="preserve"> undertaken in Wales between September 201</w:t>
      </w:r>
      <w:r>
        <w:rPr>
          <w:sz w:val="24"/>
          <w:szCs w:val="24"/>
        </w:rPr>
        <w:t>5</w:t>
      </w:r>
      <w:r w:rsidR="005018D6">
        <w:rPr>
          <w:sz w:val="24"/>
          <w:szCs w:val="24"/>
        </w:rPr>
        <w:t xml:space="preserve"> and April 201</w:t>
      </w:r>
      <w:r>
        <w:rPr>
          <w:sz w:val="24"/>
          <w:szCs w:val="24"/>
        </w:rPr>
        <w:t>6</w:t>
      </w:r>
      <w:r w:rsidR="00BE4E7B">
        <w:rPr>
          <w:sz w:val="24"/>
          <w:szCs w:val="24"/>
        </w:rPr>
        <w:t xml:space="preserve">, </w:t>
      </w:r>
      <w:r w:rsidR="005018D6">
        <w:rPr>
          <w:sz w:val="24"/>
          <w:szCs w:val="24"/>
        </w:rPr>
        <w:t>as</w:t>
      </w:r>
      <w:r w:rsidR="00BE4E7B">
        <w:rPr>
          <w:sz w:val="24"/>
          <w:szCs w:val="24"/>
        </w:rPr>
        <w:t xml:space="preserve"> a part of the </w:t>
      </w:r>
      <w:r w:rsidR="00BE4E7B" w:rsidRPr="00C30749">
        <w:rPr>
          <w:sz w:val="24"/>
          <w:szCs w:val="24"/>
        </w:rPr>
        <w:t>NHS dental survey programme</w:t>
      </w:r>
      <w:r w:rsidR="00BE4E7B">
        <w:rPr>
          <w:sz w:val="24"/>
          <w:szCs w:val="24"/>
        </w:rPr>
        <w:t>.</w:t>
      </w:r>
      <w:r w:rsidR="00BE4E7B" w:rsidRPr="00C30749">
        <w:rPr>
          <w:sz w:val="24"/>
          <w:szCs w:val="24"/>
        </w:rPr>
        <w:t xml:space="preserve">  </w:t>
      </w:r>
    </w:p>
    <w:p w14:paraId="4E5E9223" w14:textId="77777777" w:rsidR="00BE4E7B" w:rsidRDefault="004D73B4">
      <w:pPr>
        <w:rPr>
          <w:sz w:val="24"/>
          <w:szCs w:val="24"/>
        </w:rPr>
      </w:pPr>
      <w:r>
        <w:rPr>
          <w:sz w:val="24"/>
          <w:szCs w:val="24"/>
        </w:rPr>
        <w:t>This is the 4</w:t>
      </w:r>
      <w:r w:rsidRPr="004D73B4">
        <w:rPr>
          <w:sz w:val="24"/>
          <w:szCs w:val="24"/>
          <w:vertAlign w:val="superscript"/>
        </w:rPr>
        <w:t>th</w:t>
      </w:r>
      <w:r>
        <w:rPr>
          <w:sz w:val="24"/>
          <w:szCs w:val="24"/>
        </w:rPr>
        <w:t xml:space="preserve"> survey using positive parental (opt-in) consent. The data is comparable with surveys undertaken since 2007/08.</w:t>
      </w:r>
    </w:p>
    <w:p w14:paraId="1D193A29" w14:textId="77DCB17A" w:rsidR="00243F5D" w:rsidRPr="00D91E3B" w:rsidRDefault="00C40D09" w:rsidP="002F2A6E">
      <w:pPr>
        <w:spacing w:before="360"/>
        <w:outlineLvl w:val="0"/>
        <w:rPr>
          <w:b/>
          <w:sz w:val="28"/>
          <w:szCs w:val="28"/>
        </w:rPr>
      </w:pPr>
      <w:bookmarkStart w:id="5" w:name="PreventableDecay"/>
      <w:r>
        <w:rPr>
          <w:b/>
          <w:sz w:val="28"/>
          <w:szCs w:val="28"/>
        </w:rPr>
        <w:t>Decay i</w:t>
      </w:r>
      <w:r w:rsidRPr="00D91E3B">
        <w:rPr>
          <w:b/>
          <w:sz w:val="28"/>
          <w:szCs w:val="28"/>
        </w:rPr>
        <w:t>n Wales</w:t>
      </w:r>
    </w:p>
    <w:p w14:paraId="6BD8EA85" w14:textId="77777777" w:rsidR="00B76757" w:rsidRPr="00B76757" w:rsidRDefault="00B76757">
      <w:pPr>
        <w:rPr>
          <w:b/>
          <w:sz w:val="24"/>
          <w:szCs w:val="24"/>
        </w:rPr>
      </w:pPr>
      <w:bookmarkStart w:id="6" w:name="AveragedmftWales"/>
      <w:bookmarkEnd w:id="5"/>
      <w:r w:rsidRPr="00B76757">
        <w:rPr>
          <w:b/>
          <w:sz w:val="24"/>
          <w:szCs w:val="24"/>
        </w:rPr>
        <w:t>Average decayed missing and filled teeth (dmft)</w:t>
      </w:r>
    </w:p>
    <w:bookmarkEnd w:id="6"/>
    <w:p w14:paraId="7BA9CFEC" w14:textId="77777777" w:rsidR="00F36D71" w:rsidRPr="00D91E3B" w:rsidRDefault="00E205E7">
      <w:pPr>
        <w:rPr>
          <w:sz w:val="24"/>
          <w:szCs w:val="24"/>
        </w:rPr>
      </w:pPr>
      <w:r w:rsidRPr="00D91E3B">
        <w:rPr>
          <w:sz w:val="24"/>
          <w:szCs w:val="24"/>
        </w:rPr>
        <w:t xml:space="preserve">The </w:t>
      </w:r>
      <w:r w:rsidR="00F36D71" w:rsidRPr="00D91E3B">
        <w:rPr>
          <w:sz w:val="24"/>
          <w:szCs w:val="24"/>
        </w:rPr>
        <w:t>sum</w:t>
      </w:r>
      <w:r w:rsidRPr="00D91E3B">
        <w:rPr>
          <w:sz w:val="24"/>
          <w:szCs w:val="24"/>
        </w:rPr>
        <w:t xml:space="preserve"> of decayed, missing and f</w:t>
      </w:r>
      <w:r w:rsidR="00F36D71" w:rsidRPr="00D91E3B">
        <w:rPr>
          <w:sz w:val="24"/>
          <w:szCs w:val="24"/>
        </w:rPr>
        <w:t>illed teeth is a measure of the decay</w:t>
      </w:r>
      <w:r w:rsidRPr="00D91E3B">
        <w:rPr>
          <w:sz w:val="24"/>
          <w:szCs w:val="24"/>
        </w:rPr>
        <w:t xml:space="preserve"> experience </w:t>
      </w:r>
      <w:r w:rsidR="00F36D71" w:rsidRPr="00D91E3B">
        <w:rPr>
          <w:sz w:val="24"/>
          <w:szCs w:val="24"/>
        </w:rPr>
        <w:t>of the average</w:t>
      </w:r>
      <w:r w:rsidRPr="00D91E3B">
        <w:rPr>
          <w:sz w:val="24"/>
          <w:szCs w:val="24"/>
        </w:rPr>
        <w:t xml:space="preserve"> child. It is therefore the burden of disease which theoretically could have been prevented</w:t>
      </w:r>
      <w:r w:rsidR="00F36D71" w:rsidRPr="00D91E3B">
        <w:rPr>
          <w:sz w:val="24"/>
          <w:szCs w:val="24"/>
        </w:rPr>
        <w:t xml:space="preserve"> and thus key data for evaluation of efforts to prevent decay. </w:t>
      </w:r>
    </w:p>
    <w:p w14:paraId="3C9A883F" w14:textId="77777777" w:rsidR="004E515B" w:rsidRPr="00D91E3B" w:rsidRDefault="00843710" w:rsidP="00AE635F">
      <w:pPr>
        <w:spacing w:after="240"/>
        <w:rPr>
          <w:sz w:val="24"/>
          <w:szCs w:val="24"/>
        </w:rPr>
      </w:pPr>
      <w:r w:rsidRPr="00D91E3B">
        <w:rPr>
          <w:sz w:val="24"/>
          <w:szCs w:val="24"/>
        </w:rPr>
        <w:t>Figure 1 shows the trend in the mean number of decayed</w:t>
      </w:r>
      <w:r w:rsidR="00B9304F" w:rsidRPr="00D91E3B">
        <w:rPr>
          <w:sz w:val="24"/>
          <w:szCs w:val="24"/>
        </w:rPr>
        <w:t>,</w:t>
      </w:r>
      <w:r w:rsidRPr="00D91E3B">
        <w:rPr>
          <w:sz w:val="24"/>
          <w:szCs w:val="24"/>
        </w:rPr>
        <w:t xml:space="preserve"> missing and filled teeth per child in Wales. </w:t>
      </w:r>
      <w:r w:rsidR="00CE35CD">
        <w:rPr>
          <w:sz w:val="24"/>
          <w:szCs w:val="24"/>
        </w:rPr>
        <w:t>Between 2007/08 and 2015</w:t>
      </w:r>
      <w:r w:rsidRPr="00D91E3B">
        <w:rPr>
          <w:sz w:val="24"/>
          <w:szCs w:val="24"/>
        </w:rPr>
        <w:t>/1</w:t>
      </w:r>
      <w:r w:rsidR="00CE35CD">
        <w:rPr>
          <w:sz w:val="24"/>
          <w:szCs w:val="24"/>
        </w:rPr>
        <w:t>6</w:t>
      </w:r>
      <w:r w:rsidRPr="00D91E3B">
        <w:rPr>
          <w:sz w:val="24"/>
          <w:szCs w:val="24"/>
        </w:rPr>
        <w:t xml:space="preserve"> there </w:t>
      </w:r>
      <w:r w:rsidR="00CE35CD">
        <w:rPr>
          <w:sz w:val="24"/>
          <w:szCs w:val="24"/>
        </w:rPr>
        <w:t>has been</w:t>
      </w:r>
      <w:r w:rsidRPr="00D91E3B">
        <w:rPr>
          <w:sz w:val="24"/>
          <w:szCs w:val="24"/>
        </w:rPr>
        <w:t xml:space="preserve"> a reduction in dmft from </w:t>
      </w:r>
      <w:r w:rsidR="00255ECF" w:rsidRPr="00D91E3B">
        <w:rPr>
          <w:sz w:val="24"/>
          <w:szCs w:val="24"/>
        </w:rPr>
        <w:t>1.98</w:t>
      </w:r>
      <w:r w:rsidRPr="00D91E3B">
        <w:rPr>
          <w:sz w:val="24"/>
          <w:szCs w:val="24"/>
        </w:rPr>
        <w:t xml:space="preserve"> to </w:t>
      </w:r>
      <w:r w:rsidR="00255ECF" w:rsidRPr="00D91E3B">
        <w:rPr>
          <w:sz w:val="24"/>
          <w:szCs w:val="24"/>
        </w:rPr>
        <w:t>1.</w:t>
      </w:r>
      <w:r w:rsidR="00673150">
        <w:rPr>
          <w:sz w:val="24"/>
          <w:szCs w:val="24"/>
        </w:rPr>
        <w:t>22</w:t>
      </w:r>
      <w:r w:rsidRPr="00D91E3B">
        <w:rPr>
          <w:sz w:val="24"/>
          <w:szCs w:val="24"/>
        </w:rPr>
        <w:t>.</w:t>
      </w:r>
      <w:r w:rsidR="00D91E3B" w:rsidRPr="00D91E3B">
        <w:rPr>
          <w:sz w:val="24"/>
          <w:szCs w:val="24"/>
        </w:rPr>
        <w:t xml:space="preserve"> </w:t>
      </w:r>
      <w:r w:rsidR="00673150">
        <w:rPr>
          <w:sz w:val="24"/>
          <w:szCs w:val="24"/>
        </w:rPr>
        <w:t>This represents a 38</w:t>
      </w:r>
      <w:r w:rsidR="00D91E3B">
        <w:rPr>
          <w:sz w:val="24"/>
          <w:szCs w:val="24"/>
        </w:rPr>
        <w:t>% re</w:t>
      </w:r>
      <w:r w:rsidR="00673150">
        <w:rPr>
          <w:sz w:val="24"/>
          <w:szCs w:val="24"/>
        </w:rPr>
        <w:t>duction in mean dmft scores in 9</w:t>
      </w:r>
      <w:r w:rsidR="00D91E3B">
        <w:rPr>
          <w:sz w:val="24"/>
          <w:szCs w:val="24"/>
        </w:rPr>
        <w:t xml:space="preserve"> years.</w:t>
      </w:r>
    </w:p>
    <w:p w14:paraId="0F69A7F0" w14:textId="77777777" w:rsidR="00F507EA" w:rsidRPr="00236A44" w:rsidRDefault="00EE3D73" w:rsidP="0031429F">
      <w:pPr>
        <w:spacing w:after="60"/>
        <w:outlineLvl w:val="0"/>
        <w:rPr>
          <w:color w:val="000000" w:themeColor="text1"/>
          <w:sz w:val="28"/>
          <w:szCs w:val="28"/>
        </w:rPr>
      </w:pPr>
      <w:r>
        <w:rPr>
          <w:color w:val="000000" w:themeColor="text1"/>
          <w:sz w:val="28"/>
          <w:szCs w:val="28"/>
        </w:rPr>
        <w:t>Figure 1 M</w:t>
      </w:r>
      <w:r w:rsidR="00843710" w:rsidRPr="00236A44">
        <w:rPr>
          <w:color w:val="000000" w:themeColor="text1"/>
          <w:sz w:val="28"/>
          <w:szCs w:val="28"/>
        </w:rPr>
        <w:t>ean</w:t>
      </w:r>
      <w:r w:rsidR="008F0D02" w:rsidRPr="00236A44">
        <w:rPr>
          <w:color w:val="000000" w:themeColor="text1"/>
          <w:sz w:val="28"/>
          <w:szCs w:val="28"/>
        </w:rPr>
        <w:t xml:space="preserve"> dmft</w:t>
      </w:r>
      <w:r w:rsidR="00843710" w:rsidRPr="00236A44">
        <w:rPr>
          <w:color w:val="000000" w:themeColor="text1"/>
          <w:sz w:val="28"/>
          <w:szCs w:val="28"/>
        </w:rPr>
        <w:t xml:space="preserve"> </w:t>
      </w:r>
      <w:r>
        <w:rPr>
          <w:color w:val="000000" w:themeColor="text1"/>
          <w:sz w:val="28"/>
          <w:szCs w:val="28"/>
        </w:rPr>
        <w:t>in school year 1 children in</w:t>
      </w:r>
      <w:r w:rsidR="00843710" w:rsidRPr="00236A44">
        <w:rPr>
          <w:color w:val="000000" w:themeColor="text1"/>
          <w:sz w:val="28"/>
          <w:szCs w:val="28"/>
        </w:rPr>
        <w:t xml:space="preserve"> Wales</w:t>
      </w:r>
      <w:r w:rsidR="000D6934">
        <w:rPr>
          <w:color w:val="000000" w:themeColor="text1"/>
          <w:sz w:val="28"/>
          <w:szCs w:val="28"/>
        </w:rPr>
        <w:t xml:space="preserve"> 2007/08 – 201</w:t>
      </w:r>
      <w:r w:rsidR="00673150">
        <w:rPr>
          <w:color w:val="000000" w:themeColor="text1"/>
          <w:sz w:val="28"/>
          <w:szCs w:val="28"/>
        </w:rPr>
        <w:t>5</w:t>
      </w:r>
      <w:r w:rsidR="000D6934">
        <w:rPr>
          <w:color w:val="000000" w:themeColor="text1"/>
          <w:sz w:val="28"/>
          <w:szCs w:val="28"/>
        </w:rPr>
        <w:t>/1</w:t>
      </w:r>
      <w:r w:rsidR="00673150">
        <w:rPr>
          <w:color w:val="000000" w:themeColor="text1"/>
          <w:sz w:val="28"/>
          <w:szCs w:val="28"/>
        </w:rPr>
        <w:t>6</w:t>
      </w:r>
    </w:p>
    <w:p w14:paraId="635C6DDD" w14:textId="77777777" w:rsidR="008F0D02" w:rsidRPr="00236A44" w:rsidRDefault="004E7535" w:rsidP="005B395C">
      <w:pPr>
        <w:spacing w:after="0"/>
        <w:rPr>
          <w:color w:val="FF0000"/>
        </w:rPr>
      </w:pPr>
      <w:r>
        <w:rPr>
          <w:noProof/>
          <w:color w:val="FF0000"/>
          <w:lang w:eastAsia="en-GB"/>
        </w:rPr>
        <w:drawing>
          <wp:inline distT="0" distB="0" distL="0" distR="0" wp14:anchorId="41071FFD" wp14:editId="49630241">
            <wp:extent cx="3996000" cy="2880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6000" cy="2880000"/>
                    </a:xfrm>
                    <a:prstGeom prst="rect">
                      <a:avLst/>
                    </a:prstGeom>
                    <a:noFill/>
                  </pic:spPr>
                </pic:pic>
              </a:graphicData>
            </a:graphic>
          </wp:inline>
        </w:drawing>
      </w:r>
    </w:p>
    <w:p w14:paraId="6BEFA2A8" w14:textId="2F09F1B6" w:rsidR="005B395C" w:rsidRPr="005F244B" w:rsidRDefault="005143DB" w:rsidP="005B395C">
      <w:pPr>
        <w:spacing w:before="20" w:after="60"/>
        <w:rPr>
          <w:i/>
          <w:sz w:val="20"/>
          <w:szCs w:val="20"/>
        </w:rPr>
      </w:pPr>
      <w:hyperlink w:anchor="APPENDIX2" w:history="1">
        <w:r w:rsidR="005F244B" w:rsidRPr="00106EF7">
          <w:rPr>
            <w:rStyle w:val="Hyperlink"/>
            <w:i/>
            <w:sz w:val="20"/>
            <w:szCs w:val="20"/>
          </w:rPr>
          <w:t xml:space="preserve">See Appendices </w:t>
        </w:r>
        <w:r w:rsidR="005B395C" w:rsidRPr="00106EF7">
          <w:rPr>
            <w:rStyle w:val="Hyperlink"/>
            <w:i/>
            <w:sz w:val="20"/>
            <w:szCs w:val="20"/>
          </w:rPr>
          <w:t>for data</w:t>
        </w:r>
      </w:hyperlink>
    </w:p>
    <w:p w14:paraId="264EE96A" w14:textId="77777777" w:rsidR="003D3591" w:rsidRPr="003D3591" w:rsidRDefault="003D3591" w:rsidP="003D3591">
      <w:pPr>
        <w:spacing w:before="240" w:after="120"/>
        <w:rPr>
          <w:b/>
          <w:sz w:val="24"/>
          <w:szCs w:val="24"/>
        </w:rPr>
      </w:pPr>
      <w:bookmarkStart w:id="7" w:name="PrevalenceWales"/>
      <w:r w:rsidRPr="003D3591">
        <w:rPr>
          <w:b/>
          <w:sz w:val="24"/>
          <w:szCs w:val="24"/>
        </w:rPr>
        <w:t xml:space="preserve">Prevalence of decay in Wales </w:t>
      </w:r>
    </w:p>
    <w:bookmarkEnd w:id="7"/>
    <w:p w14:paraId="3C5D60AC" w14:textId="77777777" w:rsidR="00BE4E7B" w:rsidRDefault="00843710" w:rsidP="006278EC">
      <w:pPr>
        <w:spacing w:before="240" w:after="240"/>
        <w:rPr>
          <w:sz w:val="24"/>
          <w:szCs w:val="24"/>
        </w:rPr>
      </w:pPr>
      <w:r w:rsidRPr="007B7326">
        <w:rPr>
          <w:sz w:val="24"/>
          <w:szCs w:val="24"/>
        </w:rPr>
        <w:t>Not all of the children examined had decay. Figure 2 shows a reduction in the proportio</w:t>
      </w:r>
      <w:r w:rsidR="00C30749" w:rsidRPr="007B7326">
        <w:rPr>
          <w:sz w:val="24"/>
          <w:szCs w:val="24"/>
        </w:rPr>
        <w:t xml:space="preserve">n of children with decay </w:t>
      </w:r>
      <w:r w:rsidR="00C62FFE">
        <w:rPr>
          <w:sz w:val="24"/>
          <w:szCs w:val="24"/>
        </w:rPr>
        <w:t>between 2007/08 (47.6%) and 20</w:t>
      </w:r>
      <w:r w:rsidR="00C30749" w:rsidRPr="007B7326">
        <w:rPr>
          <w:sz w:val="24"/>
          <w:szCs w:val="24"/>
        </w:rPr>
        <w:t>15</w:t>
      </w:r>
      <w:r w:rsidR="00C62FFE">
        <w:rPr>
          <w:sz w:val="24"/>
          <w:szCs w:val="24"/>
        </w:rPr>
        <w:t>/16</w:t>
      </w:r>
      <w:r w:rsidRPr="007B7326">
        <w:rPr>
          <w:sz w:val="24"/>
          <w:szCs w:val="24"/>
        </w:rPr>
        <w:t xml:space="preserve"> (</w:t>
      </w:r>
      <w:r w:rsidR="00C30749" w:rsidRPr="007B7326">
        <w:rPr>
          <w:sz w:val="24"/>
          <w:szCs w:val="24"/>
        </w:rPr>
        <w:t>3</w:t>
      </w:r>
      <w:r w:rsidR="00C62FFE">
        <w:rPr>
          <w:sz w:val="24"/>
          <w:szCs w:val="24"/>
        </w:rPr>
        <w:t>4.2</w:t>
      </w:r>
      <w:r w:rsidRPr="007B7326">
        <w:rPr>
          <w:sz w:val="24"/>
          <w:szCs w:val="24"/>
        </w:rPr>
        <w:t xml:space="preserve">%).  </w:t>
      </w:r>
      <w:r w:rsidR="00C30749" w:rsidRPr="007B7326">
        <w:rPr>
          <w:sz w:val="24"/>
          <w:szCs w:val="24"/>
        </w:rPr>
        <w:t>This represents continuing improvement of the proportion of</w:t>
      </w:r>
      <w:r w:rsidRPr="007B7326">
        <w:rPr>
          <w:sz w:val="24"/>
          <w:szCs w:val="24"/>
        </w:rPr>
        <w:t xml:space="preserve"> children </w:t>
      </w:r>
      <w:r w:rsidR="00C30749" w:rsidRPr="007B7326">
        <w:rPr>
          <w:sz w:val="24"/>
          <w:szCs w:val="24"/>
        </w:rPr>
        <w:t xml:space="preserve">who </w:t>
      </w:r>
      <w:r w:rsidRPr="007B7326">
        <w:rPr>
          <w:sz w:val="24"/>
          <w:szCs w:val="24"/>
        </w:rPr>
        <w:t xml:space="preserve">have no obvious decay </w:t>
      </w:r>
      <w:r w:rsidRPr="007B7326">
        <w:rPr>
          <w:sz w:val="24"/>
          <w:szCs w:val="24"/>
        </w:rPr>
        <w:lastRenderedPageBreak/>
        <w:t>experience by age 5.</w:t>
      </w:r>
      <w:r w:rsidR="00C30749" w:rsidRPr="007B7326">
        <w:rPr>
          <w:sz w:val="24"/>
          <w:szCs w:val="24"/>
        </w:rPr>
        <w:t xml:space="preserve"> Thus in </w:t>
      </w:r>
      <w:r w:rsidR="00F03C5E">
        <w:rPr>
          <w:sz w:val="24"/>
          <w:szCs w:val="24"/>
        </w:rPr>
        <w:t>2015/</w:t>
      </w:r>
      <w:r w:rsidR="00C30749" w:rsidRPr="007B7326">
        <w:rPr>
          <w:sz w:val="24"/>
          <w:szCs w:val="24"/>
        </w:rPr>
        <w:t>1</w:t>
      </w:r>
      <w:r w:rsidR="00C62FFE">
        <w:rPr>
          <w:sz w:val="24"/>
          <w:szCs w:val="24"/>
        </w:rPr>
        <w:t>6</w:t>
      </w:r>
      <w:r w:rsidR="004E515B" w:rsidRPr="007B7326">
        <w:rPr>
          <w:sz w:val="24"/>
          <w:szCs w:val="24"/>
        </w:rPr>
        <w:t xml:space="preserve"> in</w:t>
      </w:r>
      <w:r w:rsidR="00B86DAD">
        <w:rPr>
          <w:sz w:val="24"/>
          <w:szCs w:val="24"/>
        </w:rPr>
        <w:t xml:space="preserve"> a class of 30 children 20</w:t>
      </w:r>
      <w:r w:rsidR="004E515B" w:rsidRPr="007B7326">
        <w:rPr>
          <w:sz w:val="24"/>
          <w:szCs w:val="24"/>
        </w:rPr>
        <w:t xml:space="preserve"> will have </w:t>
      </w:r>
      <w:r w:rsidR="007B7326" w:rsidRPr="007B7326">
        <w:rPr>
          <w:sz w:val="24"/>
          <w:szCs w:val="24"/>
        </w:rPr>
        <w:t>no</w:t>
      </w:r>
      <w:r w:rsidR="004E515B" w:rsidRPr="007B7326">
        <w:rPr>
          <w:sz w:val="24"/>
          <w:szCs w:val="24"/>
        </w:rPr>
        <w:t xml:space="preserve"> d</w:t>
      </w:r>
      <w:r w:rsidR="007B7326" w:rsidRPr="007B7326">
        <w:rPr>
          <w:sz w:val="24"/>
          <w:szCs w:val="24"/>
        </w:rPr>
        <w:t>ecay experience</w:t>
      </w:r>
      <w:r w:rsidR="00F03C5E">
        <w:rPr>
          <w:sz w:val="24"/>
          <w:szCs w:val="24"/>
        </w:rPr>
        <w:t xml:space="preserve">.  This </w:t>
      </w:r>
      <w:r w:rsidR="007B7326" w:rsidRPr="007B7326">
        <w:rPr>
          <w:sz w:val="24"/>
          <w:szCs w:val="24"/>
        </w:rPr>
        <w:t>compare</w:t>
      </w:r>
      <w:r w:rsidR="00F03C5E">
        <w:rPr>
          <w:sz w:val="24"/>
          <w:szCs w:val="24"/>
        </w:rPr>
        <w:t>s</w:t>
      </w:r>
      <w:r w:rsidR="007B7326" w:rsidRPr="007B7326">
        <w:rPr>
          <w:sz w:val="24"/>
          <w:szCs w:val="24"/>
        </w:rPr>
        <w:t xml:space="preserve"> with </w:t>
      </w:r>
      <w:r w:rsidR="00B86DAD">
        <w:rPr>
          <w:sz w:val="24"/>
          <w:szCs w:val="24"/>
        </w:rPr>
        <w:t>16 in</w:t>
      </w:r>
      <w:r w:rsidR="00934584">
        <w:rPr>
          <w:sz w:val="24"/>
          <w:szCs w:val="24"/>
        </w:rPr>
        <w:t xml:space="preserve"> a class of 30 children decay free</w:t>
      </w:r>
      <w:r w:rsidR="004E515B" w:rsidRPr="007B7326">
        <w:rPr>
          <w:sz w:val="24"/>
          <w:szCs w:val="24"/>
        </w:rPr>
        <w:t xml:space="preserve"> in </w:t>
      </w:r>
      <w:r w:rsidR="00F03C5E">
        <w:rPr>
          <w:sz w:val="24"/>
          <w:szCs w:val="24"/>
        </w:rPr>
        <w:t>2007/</w:t>
      </w:r>
      <w:r w:rsidR="004E515B" w:rsidRPr="007B7326">
        <w:rPr>
          <w:sz w:val="24"/>
          <w:szCs w:val="24"/>
        </w:rPr>
        <w:t>08.</w:t>
      </w:r>
    </w:p>
    <w:p w14:paraId="6552862A" w14:textId="77777777" w:rsidR="008F0D02" w:rsidRPr="00236A44" w:rsidRDefault="00843710" w:rsidP="005A43B2">
      <w:pPr>
        <w:spacing w:after="60"/>
        <w:rPr>
          <w:color w:val="000000" w:themeColor="text1"/>
          <w:sz w:val="28"/>
          <w:szCs w:val="28"/>
        </w:rPr>
      </w:pPr>
      <w:r w:rsidRPr="00236A44">
        <w:rPr>
          <w:color w:val="000000" w:themeColor="text1"/>
          <w:sz w:val="28"/>
          <w:szCs w:val="28"/>
        </w:rPr>
        <w:t xml:space="preserve">Figure 2 </w:t>
      </w:r>
      <w:r w:rsidR="008F0D02" w:rsidRPr="00236A44">
        <w:rPr>
          <w:color w:val="000000" w:themeColor="text1"/>
          <w:sz w:val="28"/>
          <w:szCs w:val="28"/>
        </w:rPr>
        <w:t xml:space="preserve">Percentage </w:t>
      </w:r>
      <w:r w:rsidRPr="00236A44">
        <w:rPr>
          <w:color w:val="000000" w:themeColor="text1"/>
          <w:sz w:val="28"/>
          <w:szCs w:val="28"/>
        </w:rPr>
        <w:t>of children</w:t>
      </w:r>
      <w:r w:rsidR="000D6934">
        <w:rPr>
          <w:color w:val="000000" w:themeColor="text1"/>
          <w:sz w:val="28"/>
          <w:szCs w:val="28"/>
        </w:rPr>
        <w:t xml:space="preserve"> in Wales</w:t>
      </w:r>
      <w:r w:rsidRPr="00236A44">
        <w:rPr>
          <w:color w:val="000000" w:themeColor="text1"/>
          <w:sz w:val="28"/>
          <w:szCs w:val="28"/>
        </w:rPr>
        <w:t xml:space="preserve"> </w:t>
      </w:r>
      <w:r w:rsidR="008F0D02" w:rsidRPr="00236A44">
        <w:rPr>
          <w:color w:val="000000" w:themeColor="text1"/>
          <w:sz w:val="28"/>
          <w:szCs w:val="28"/>
        </w:rPr>
        <w:t>with caries (%dmft&gt;0)</w:t>
      </w:r>
      <w:r w:rsidR="00F03C5E">
        <w:rPr>
          <w:color w:val="000000" w:themeColor="text1"/>
          <w:sz w:val="28"/>
          <w:szCs w:val="28"/>
        </w:rPr>
        <w:t xml:space="preserve"> 2007/08 – 2017/16</w:t>
      </w:r>
    </w:p>
    <w:p w14:paraId="29F1F7BD" w14:textId="77777777" w:rsidR="008F0D02" w:rsidRPr="00236A44" w:rsidRDefault="00C62FFE" w:rsidP="005B395C">
      <w:pPr>
        <w:spacing w:after="0"/>
        <w:rPr>
          <w:color w:val="FF0000"/>
        </w:rPr>
      </w:pPr>
      <w:r>
        <w:rPr>
          <w:noProof/>
          <w:color w:val="FF0000"/>
          <w:lang w:eastAsia="en-GB"/>
        </w:rPr>
        <w:drawing>
          <wp:inline distT="0" distB="0" distL="0" distR="0" wp14:anchorId="765A4D2E" wp14:editId="1C63B797">
            <wp:extent cx="4302000" cy="2664000"/>
            <wp:effectExtent l="0" t="0" r="381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000" cy="2664000"/>
                    </a:xfrm>
                    <a:prstGeom prst="rect">
                      <a:avLst/>
                    </a:prstGeom>
                    <a:noFill/>
                  </pic:spPr>
                </pic:pic>
              </a:graphicData>
            </a:graphic>
          </wp:inline>
        </w:drawing>
      </w:r>
    </w:p>
    <w:p w14:paraId="56C22AA7" w14:textId="2E49464F" w:rsidR="009D010A" w:rsidRPr="005F244B" w:rsidRDefault="005143DB" w:rsidP="009D010A">
      <w:pPr>
        <w:spacing w:before="20" w:after="60"/>
        <w:rPr>
          <w:i/>
          <w:sz w:val="20"/>
          <w:szCs w:val="20"/>
        </w:rPr>
      </w:pPr>
      <w:hyperlink w:anchor="APPENDIX2" w:history="1">
        <w:r w:rsidR="009D010A" w:rsidRPr="00106EF7">
          <w:rPr>
            <w:rStyle w:val="Hyperlink"/>
            <w:i/>
            <w:sz w:val="20"/>
            <w:szCs w:val="20"/>
          </w:rPr>
          <w:t>See Appendices for data</w:t>
        </w:r>
      </w:hyperlink>
    </w:p>
    <w:p w14:paraId="0B32163F" w14:textId="77777777" w:rsidR="001A219B" w:rsidRPr="001A219B" w:rsidRDefault="001A219B" w:rsidP="006278EC">
      <w:pPr>
        <w:spacing w:before="180" w:after="120"/>
        <w:rPr>
          <w:b/>
          <w:sz w:val="24"/>
          <w:szCs w:val="24"/>
        </w:rPr>
      </w:pPr>
      <w:bookmarkStart w:id="8" w:name="_Hlk482695313"/>
      <w:bookmarkStart w:id="9" w:name="Meandecaywithdecay"/>
      <w:r>
        <w:rPr>
          <w:b/>
          <w:sz w:val="24"/>
          <w:szCs w:val="24"/>
        </w:rPr>
        <w:t>D</w:t>
      </w:r>
      <w:r w:rsidRPr="001A219B">
        <w:rPr>
          <w:b/>
          <w:sz w:val="24"/>
          <w:szCs w:val="24"/>
        </w:rPr>
        <w:t>ecay experience of those with decay affected teeth (mean dmft where dmft&gt;0)</w:t>
      </w:r>
    </w:p>
    <w:bookmarkEnd w:id="8"/>
    <w:bookmarkEnd w:id="9"/>
    <w:p w14:paraId="1B8C18A0" w14:textId="77777777" w:rsidR="00243F5D" w:rsidRPr="007B7326" w:rsidRDefault="007B7326" w:rsidP="006278EC">
      <w:pPr>
        <w:spacing w:before="120" w:after="240"/>
        <w:rPr>
          <w:sz w:val="24"/>
          <w:szCs w:val="24"/>
        </w:rPr>
      </w:pPr>
      <w:r w:rsidRPr="007B7326">
        <w:rPr>
          <w:sz w:val="24"/>
          <w:szCs w:val="24"/>
        </w:rPr>
        <w:t>Data on</w:t>
      </w:r>
      <w:r w:rsidR="004E515B" w:rsidRPr="007B7326">
        <w:rPr>
          <w:sz w:val="24"/>
          <w:szCs w:val="24"/>
        </w:rPr>
        <w:t xml:space="preserve"> </w:t>
      </w:r>
      <w:r w:rsidR="006D6714">
        <w:rPr>
          <w:sz w:val="24"/>
          <w:szCs w:val="24"/>
        </w:rPr>
        <w:t>mean decay scores of those</w:t>
      </w:r>
      <w:r w:rsidR="004E515B" w:rsidRPr="007B7326">
        <w:rPr>
          <w:sz w:val="24"/>
          <w:szCs w:val="24"/>
        </w:rPr>
        <w:t xml:space="preserve"> children who have at least 1 decayed, m</w:t>
      </w:r>
      <w:r w:rsidR="006D6714">
        <w:rPr>
          <w:sz w:val="24"/>
          <w:szCs w:val="24"/>
        </w:rPr>
        <w:t>issing or filled tooth</w:t>
      </w:r>
      <w:r w:rsidR="004E515B" w:rsidRPr="007B7326">
        <w:rPr>
          <w:sz w:val="24"/>
          <w:szCs w:val="24"/>
        </w:rPr>
        <w:t xml:space="preserve"> illustrate the stark differences between childre</w:t>
      </w:r>
      <w:r w:rsidR="006D6714">
        <w:rPr>
          <w:sz w:val="24"/>
          <w:szCs w:val="24"/>
        </w:rPr>
        <w:t>n with decay and those without (</w:t>
      </w:r>
      <w:r w:rsidR="004E515B" w:rsidRPr="007B7326">
        <w:rPr>
          <w:sz w:val="24"/>
          <w:szCs w:val="24"/>
        </w:rPr>
        <w:t>Figure 3</w:t>
      </w:r>
      <w:r w:rsidR="006D6714">
        <w:rPr>
          <w:sz w:val="24"/>
          <w:szCs w:val="24"/>
        </w:rPr>
        <w:t>)</w:t>
      </w:r>
      <w:r w:rsidRPr="007B7326">
        <w:rPr>
          <w:sz w:val="24"/>
          <w:szCs w:val="24"/>
        </w:rPr>
        <w:t>.</w:t>
      </w:r>
      <w:r w:rsidR="004E515B" w:rsidRPr="007B7326">
        <w:rPr>
          <w:sz w:val="24"/>
          <w:szCs w:val="24"/>
        </w:rPr>
        <w:t xml:space="preserve"> </w:t>
      </w:r>
      <w:r w:rsidRPr="007B7326">
        <w:rPr>
          <w:sz w:val="24"/>
          <w:szCs w:val="24"/>
        </w:rPr>
        <w:t>T</w:t>
      </w:r>
      <w:r w:rsidR="004E515B" w:rsidRPr="007B7326">
        <w:rPr>
          <w:sz w:val="24"/>
          <w:szCs w:val="24"/>
        </w:rPr>
        <w:t xml:space="preserve">he </w:t>
      </w:r>
      <w:r w:rsidRPr="007B7326">
        <w:rPr>
          <w:sz w:val="24"/>
          <w:szCs w:val="24"/>
        </w:rPr>
        <w:t xml:space="preserve">continuing </w:t>
      </w:r>
      <w:r w:rsidR="004E515B" w:rsidRPr="007B7326">
        <w:rPr>
          <w:sz w:val="24"/>
          <w:szCs w:val="24"/>
        </w:rPr>
        <w:t xml:space="preserve">reduction from </w:t>
      </w:r>
      <w:r w:rsidR="00255ECF" w:rsidRPr="007B7326">
        <w:rPr>
          <w:sz w:val="24"/>
          <w:szCs w:val="24"/>
        </w:rPr>
        <w:t>4.16</w:t>
      </w:r>
      <w:r w:rsidR="004E515B" w:rsidRPr="007B7326">
        <w:rPr>
          <w:sz w:val="24"/>
          <w:szCs w:val="24"/>
        </w:rPr>
        <w:t xml:space="preserve"> </w:t>
      </w:r>
      <w:r w:rsidRPr="007B7326">
        <w:rPr>
          <w:sz w:val="24"/>
          <w:szCs w:val="24"/>
        </w:rPr>
        <w:t>in 2007/</w:t>
      </w:r>
      <w:r w:rsidR="005E6C32">
        <w:rPr>
          <w:sz w:val="24"/>
          <w:szCs w:val="24"/>
        </w:rPr>
        <w:t>0</w:t>
      </w:r>
      <w:r w:rsidRPr="007B7326">
        <w:rPr>
          <w:sz w:val="24"/>
          <w:szCs w:val="24"/>
        </w:rPr>
        <w:t>8</w:t>
      </w:r>
      <w:r w:rsidR="00231408" w:rsidRPr="007B7326">
        <w:rPr>
          <w:sz w:val="24"/>
          <w:szCs w:val="24"/>
        </w:rPr>
        <w:t xml:space="preserve"> </w:t>
      </w:r>
      <w:r w:rsidR="004E515B" w:rsidRPr="007B7326">
        <w:rPr>
          <w:sz w:val="24"/>
          <w:szCs w:val="24"/>
        </w:rPr>
        <w:t xml:space="preserve">to </w:t>
      </w:r>
      <w:r w:rsidR="008439CE">
        <w:rPr>
          <w:sz w:val="24"/>
          <w:szCs w:val="24"/>
        </w:rPr>
        <w:t>3.58</w:t>
      </w:r>
      <w:r w:rsidR="005E6C32">
        <w:rPr>
          <w:sz w:val="24"/>
          <w:szCs w:val="24"/>
        </w:rPr>
        <w:t xml:space="preserve"> in 2015</w:t>
      </w:r>
      <w:r w:rsidRPr="007B7326">
        <w:rPr>
          <w:sz w:val="24"/>
          <w:szCs w:val="24"/>
        </w:rPr>
        <w:t>/</w:t>
      </w:r>
      <w:r w:rsidR="005E6C32">
        <w:rPr>
          <w:sz w:val="24"/>
          <w:szCs w:val="24"/>
        </w:rPr>
        <w:t>16</w:t>
      </w:r>
      <w:r w:rsidRPr="007B7326">
        <w:rPr>
          <w:sz w:val="24"/>
          <w:szCs w:val="24"/>
        </w:rPr>
        <w:t xml:space="preserve"> is statistically and clinically significant</w:t>
      </w:r>
      <w:r w:rsidR="004E515B" w:rsidRPr="007B7326">
        <w:rPr>
          <w:sz w:val="24"/>
          <w:szCs w:val="24"/>
        </w:rPr>
        <w:t>.</w:t>
      </w:r>
      <w:r w:rsidRPr="007B7326">
        <w:rPr>
          <w:sz w:val="24"/>
          <w:szCs w:val="24"/>
        </w:rPr>
        <w:t xml:space="preserve"> </w:t>
      </w:r>
    </w:p>
    <w:p w14:paraId="68996C44" w14:textId="77777777" w:rsidR="008F0D02" w:rsidRPr="00EB7F39" w:rsidRDefault="004E515B" w:rsidP="0031429F">
      <w:pPr>
        <w:spacing w:after="60"/>
        <w:rPr>
          <w:color w:val="000000" w:themeColor="text1"/>
          <w:sz w:val="24"/>
          <w:szCs w:val="24"/>
        </w:rPr>
      </w:pPr>
      <w:r w:rsidRPr="00236A44">
        <w:rPr>
          <w:color w:val="000000" w:themeColor="text1"/>
          <w:sz w:val="28"/>
          <w:szCs w:val="28"/>
        </w:rPr>
        <w:t xml:space="preserve">Figure 3 </w:t>
      </w:r>
      <w:r w:rsidR="008F0D02" w:rsidRPr="00236A44">
        <w:rPr>
          <w:color w:val="000000" w:themeColor="text1"/>
          <w:sz w:val="28"/>
          <w:szCs w:val="28"/>
        </w:rPr>
        <w:t xml:space="preserve">Mean dmft of </w:t>
      </w:r>
      <w:r w:rsidR="000D6934">
        <w:rPr>
          <w:color w:val="000000" w:themeColor="text1"/>
          <w:sz w:val="28"/>
          <w:szCs w:val="28"/>
        </w:rPr>
        <w:t>children in Wales</w:t>
      </w:r>
      <w:r w:rsidR="008F0D02" w:rsidRPr="00236A44">
        <w:rPr>
          <w:color w:val="000000" w:themeColor="text1"/>
          <w:sz w:val="28"/>
          <w:szCs w:val="28"/>
        </w:rPr>
        <w:t xml:space="preserve"> with decay experience </w:t>
      </w:r>
      <w:r w:rsidR="008F0D02" w:rsidRPr="000D6934">
        <w:rPr>
          <w:color w:val="000000" w:themeColor="text1"/>
          <w:sz w:val="28"/>
          <w:szCs w:val="28"/>
        </w:rPr>
        <w:t xml:space="preserve">(mean dmft </w:t>
      </w:r>
      <w:r w:rsidR="00EB7F39" w:rsidRPr="000D6934">
        <w:rPr>
          <w:color w:val="000000" w:themeColor="text1"/>
          <w:sz w:val="28"/>
          <w:szCs w:val="28"/>
        </w:rPr>
        <w:t>where</w:t>
      </w:r>
      <w:r w:rsidR="008F0D02" w:rsidRPr="000D6934">
        <w:rPr>
          <w:color w:val="000000" w:themeColor="text1"/>
          <w:sz w:val="28"/>
          <w:szCs w:val="28"/>
        </w:rPr>
        <w:t xml:space="preserve"> dmft&gt;0)</w:t>
      </w:r>
      <w:r w:rsidR="000D6934">
        <w:rPr>
          <w:color w:val="000000" w:themeColor="text1"/>
          <w:sz w:val="24"/>
          <w:szCs w:val="24"/>
        </w:rPr>
        <w:t xml:space="preserve"> </w:t>
      </w:r>
      <w:r w:rsidR="005E6C32">
        <w:rPr>
          <w:color w:val="000000" w:themeColor="text1"/>
          <w:sz w:val="28"/>
          <w:szCs w:val="28"/>
        </w:rPr>
        <w:t>2007/08 – 2015/16</w:t>
      </w:r>
    </w:p>
    <w:p w14:paraId="60DB6B1B" w14:textId="77777777" w:rsidR="008F0D02" w:rsidRPr="00236A44" w:rsidRDefault="00D92E97" w:rsidP="005B395C">
      <w:pPr>
        <w:spacing w:after="40"/>
        <w:rPr>
          <w:color w:val="FF0000"/>
        </w:rPr>
      </w:pPr>
      <w:r>
        <w:rPr>
          <w:noProof/>
          <w:color w:val="FF0000"/>
          <w:lang w:eastAsia="en-GB"/>
        </w:rPr>
        <w:drawing>
          <wp:inline distT="0" distB="0" distL="0" distR="0" wp14:anchorId="6CBF9142" wp14:editId="24D86083">
            <wp:extent cx="4140000" cy="2700000"/>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000" cy="2700000"/>
                    </a:xfrm>
                    <a:prstGeom prst="rect">
                      <a:avLst/>
                    </a:prstGeom>
                    <a:noFill/>
                  </pic:spPr>
                </pic:pic>
              </a:graphicData>
            </a:graphic>
          </wp:inline>
        </w:drawing>
      </w:r>
    </w:p>
    <w:p w14:paraId="540269A7" w14:textId="700C1504" w:rsidR="00F76A56" w:rsidRDefault="005143DB" w:rsidP="004A41ED">
      <w:pPr>
        <w:spacing w:before="20" w:after="60"/>
        <w:rPr>
          <w:sz w:val="28"/>
          <w:szCs w:val="28"/>
        </w:rPr>
      </w:pPr>
      <w:hyperlink w:anchor="APPENDIX2" w:history="1">
        <w:r w:rsidR="009D010A" w:rsidRPr="00106EF7">
          <w:rPr>
            <w:rStyle w:val="Hyperlink"/>
            <w:i/>
            <w:sz w:val="20"/>
            <w:szCs w:val="20"/>
          </w:rPr>
          <w:t>See Appendices for data</w:t>
        </w:r>
      </w:hyperlink>
      <w:r w:rsidR="00F76A56">
        <w:rPr>
          <w:sz w:val="28"/>
          <w:szCs w:val="28"/>
        </w:rPr>
        <w:br w:type="page"/>
      </w:r>
    </w:p>
    <w:p w14:paraId="7B9C1743" w14:textId="77777777" w:rsidR="00F76A56" w:rsidRPr="00F76A56" w:rsidRDefault="00F76A56" w:rsidP="0031429F">
      <w:pPr>
        <w:spacing w:after="60"/>
        <w:outlineLvl w:val="0"/>
        <w:rPr>
          <w:b/>
          <w:sz w:val="24"/>
          <w:szCs w:val="24"/>
        </w:rPr>
      </w:pPr>
      <w:bookmarkStart w:id="10" w:name="deprivation1"/>
      <w:r w:rsidRPr="00F76A56">
        <w:rPr>
          <w:b/>
          <w:sz w:val="24"/>
          <w:szCs w:val="24"/>
        </w:rPr>
        <w:lastRenderedPageBreak/>
        <w:t>Caries by quintile of deprivation</w:t>
      </w:r>
    </w:p>
    <w:bookmarkEnd w:id="10"/>
    <w:p w14:paraId="2E355F40" w14:textId="77777777" w:rsidR="00766F90" w:rsidRPr="007B7326" w:rsidRDefault="00766F90" w:rsidP="0031429F">
      <w:pPr>
        <w:spacing w:after="60"/>
        <w:outlineLvl w:val="0"/>
        <w:rPr>
          <w:sz w:val="28"/>
          <w:szCs w:val="28"/>
        </w:rPr>
      </w:pPr>
      <w:r w:rsidRPr="007B7326">
        <w:rPr>
          <w:sz w:val="28"/>
          <w:szCs w:val="28"/>
        </w:rPr>
        <w:t xml:space="preserve">Figure 4 </w:t>
      </w:r>
      <w:r w:rsidR="00345DED">
        <w:rPr>
          <w:sz w:val="28"/>
          <w:szCs w:val="28"/>
        </w:rPr>
        <w:t>M</w:t>
      </w:r>
      <w:r w:rsidR="00236A44" w:rsidRPr="007B7326">
        <w:rPr>
          <w:sz w:val="28"/>
          <w:szCs w:val="28"/>
        </w:rPr>
        <w:t>ean number of decayed teeth</w:t>
      </w:r>
      <w:r w:rsidR="000D59F5">
        <w:rPr>
          <w:sz w:val="28"/>
          <w:szCs w:val="28"/>
        </w:rPr>
        <w:t xml:space="preserve"> (dmft)</w:t>
      </w:r>
      <w:r w:rsidR="009C4512">
        <w:rPr>
          <w:sz w:val="28"/>
          <w:szCs w:val="28"/>
        </w:rPr>
        <w:t xml:space="preserve"> in Welsh children</w:t>
      </w:r>
      <w:r w:rsidR="00345DED">
        <w:rPr>
          <w:sz w:val="28"/>
          <w:szCs w:val="28"/>
        </w:rPr>
        <w:t xml:space="preserve"> by quintile of deprivation</w:t>
      </w:r>
      <w:r w:rsidR="009C4512">
        <w:rPr>
          <w:sz w:val="28"/>
          <w:szCs w:val="28"/>
        </w:rPr>
        <w:t xml:space="preserve">, </w:t>
      </w:r>
      <w:r w:rsidR="005650E1">
        <w:rPr>
          <w:color w:val="000000" w:themeColor="text1"/>
          <w:sz w:val="28"/>
          <w:szCs w:val="28"/>
        </w:rPr>
        <w:t>2007/08 – 2015/16</w:t>
      </w:r>
    </w:p>
    <w:p w14:paraId="5093E21B" w14:textId="77777777" w:rsidR="00766F90" w:rsidRPr="00236A44" w:rsidRDefault="0043024C" w:rsidP="00766F90">
      <w:pPr>
        <w:rPr>
          <w:color w:val="FF0000"/>
        </w:rPr>
      </w:pPr>
      <w:r>
        <w:rPr>
          <w:noProof/>
          <w:color w:val="FF0000"/>
          <w:lang w:eastAsia="en-GB"/>
        </w:rPr>
        <w:drawing>
          <wp:inline distT="0" distB="0" distL="0" distR="0" wp14:anchorId="53CCFBCC" wp14:editId="298D7FF9">
            <wp:extent cx="3610800" cy="2880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0800" cy="2880000"/>
                    </a:xfrm>
                    <a:prstGeom prst="rect">
                      <a:avLst/>
                    </a:prstGeom>
                    <a:noFill/>
                  </pic:spPr>
                </pic:pic>
              </a:graphicData>
            </a:graphic>
          </wp:inline>
        </w:drawing>
      </w:r>
    </w:p>
    <w:p w14:paraId="54560711" w14:textId="77777777" w:rsidR="00766F90" w:rsidRPr="007B7326" w:rsidRDefault="000C7903" w:rsidP="00D00338">
      <w:pPr>
        <w:spacing w:before="360" w:after="480"/>
        <w:rPr>
          <w:sz w:val="24"/>
          <w:szCs w:val="24"/>
        </w:rPr>
      </w:pPr>
      <w:r w:rsidRPr="000C7903">
        <w:rPr>
          <w:sz w:val="24"/>
          <w:szCs w:val="24"/>
        </w:rPr>
        <w:t>Figures 4 and 5 illustr</w:t>
      </w:r>
      <w:r>
        <w:rPr>
          <w:sz w:val="24"/>
          <w:szCs w:val="24"/>
        </w:rPr>
        <w:t>ate t</w:t>
      </w:r>
      <w:r w:rsidR="00345DED">
        <w:rPr>
          <w:sz w:val="24"/>
          <w:szCs w:val="24"/>
        </w:rPr>
        <w:t xml:space="preserve">he relationship between decay experience </w:t>
      </w:r>
      <w:r w:rsidRPr="000C7903">
        <w:rPr>
          <w:sz w:val="24"/>
          <w:szCs w:val="24"/>
        </w:rPr>
        <w:t xml:space="preserve">and the Welsh </w:t>
      </w:r>
      <w:r>
        <w:rPr>
          <w:sz w:val="24"/>
          <w:szCs w:val="24"/>
        </w:rPr>
        <w:t>Index of Multiple D</w:t>
      </w:r>
      <w:r w:rsidRPr="000C7903">
        <w:rPr>
          <w:sz w:val="24"/>
          <w:szCs w:val="24"/>
        </w:rPr>
        <w:t xml:space="preserve">eprivation (WIMD). </w:t>
      </w:r>
      <w:r>
        <w:rPr>
          <w:sz w:val="24"/>
          <w:szCs w:val="24"/>
        </w:rPr>
        <w:t xml:space="preserve"> </w:t>
      </w:r>
      <w:r w:rsidRPr="000C7903">
        <w:rPr>
          <w:sz w:val="24"/>
          <w:szCs w:val="24"/>
        </w:rPr>
        <w:t>Mean dmft and the %dmft&gt;0 for all quintiles of</w:t>
      </w:r>
      <w:r w:rsidR="00E870B6">
        <w:rPr>
          <w:sz w:val="24"/>
          <w:szCs w:val="24"/>
        </w:rPr>
        <w:t xml:space="preserve"> deprivation have fallen in 2015/16</w:t>
      </w:r>
      <w:r w:rsidRPr="000C7903">
        <w:rPr>
          <w:sz w:val="24"/>
          <w:szCs w:val="24"/>
        </w:rPr>
        <w:t xml:space="preserve"> wh</w:t>
      </w:r>
      <w:r w:rsidR="00E870B6">
        <w:rPr>
          <w:sz w:val="24"/>
          <w:szCs w:val="24"/>
        </w:rPr>
        <w:t>en compared with values for 2007/08</w:t>
      </w:r>
      <w:r w:rsidR="00345DED">
        <w:rPr>
          <w:sz w:val="24"/>
          <w:szCs w:val="24"/>
        </w:rPr>
        <w:t>. T</w:t>
      </w:r>
      <w:r w:rsidR="00E870B6">
        <w:rPr>
          <w:sz w:val="24"/>
          <w:szCs w:val="24"/>
        </w:rPr>
        <w:t xml:space="preserve">he largest improvements </w:t>
      </w:r>
      <w:r w:rsidR="00345DED">
        <w:rPr>
          <w:sz w:val="24"/>
          <w:szCs w:val="24"/>
        </w:rPr>
        <w:t xml:space="preserve">are </w:t>
      </w:r>
      <w:r w:rsidR="00E870B6">
        <w:rPr>
          <w:sz w:val="24"/>
          <w:szCs w:val="24"/>
        </w:rPr>
        <w:t>in the most deprived quintile</w:t>
      </w:r>
      <w:r w:rsidR="00345DED">
        <w:rPr>
          <w:sz w:val="24"/>
          <w:szCs w:val="24"/>
        </w:rPr>
        <w:t>. These</w:t>
      </w:r>
      <w:r w:rsidRPr="000C7903">
        <w:rPr>
          <w:sz w:val="24"/>
          <w:szCs w:val="24"/>
        </w:rPr>
        <w:t xml:space="preserve"> improvement</w:t>
      </w:r>
      <w:r w:rsidR="00345DED">
        <w:rPr>
          <w:sz w:val="24"/>
          <w:szCs w:val="24"/>
        </w:rPr>
        <w:t>s are impressive given that in times of economic downturn</w:t>
      </w:r>
      <w:r w:rsidR="00E870B6">
        <w:rPr>
          <w:sz w:val="24"/>
          <w:szCs w:val="24"/>
        </w:rPr>
        <w:t xml:space="preserve"> decay </w:t>
      </w:r>
      <w:r w:rsidR="00345DED">
        <w:rPr>
          <w:sz w:val="24"/>
          <w:szCs w:val="24"/>
        </w:rPr>
        <w:t>would be expected to</w:t>
      </w:r>
      <w:r w:rsidR="00F317BA">
        <w:rPr>
          <w:sz w:val="24"/>
          <w:szCs w:val="24"/>
        </w:rPr>
        <w:t xml:space="preserve"> rise or show little improvement.</w:t>
      </w:r>
    </w:p>
    <w:p w14:paraId="2B2CC763" w14:textId="77777777" w:rsidR="004E515B" w:rsidRPr="007B7326" w:rsidRDefault="00B258F0" w:rsidP="0031429F">
      <w:pPr>
        <w:spacing w:after="60"/>
        <w:outlineLvl w:val="0"/>
        <w:rPr>
          <w:sz w:val="28"/>
          <w:szCs w:val="28"/>
        </w:rPr>
      </w:pPr>
      <w:r w:rsidRPr="007B7326">
        <w:rPr>
          <w:sz w:val="28"/>
          <w:szCs w:val="28"/>
        </w:rPr>
        <w:t xml:space="preserve">Figure </w:t>
      </w:r>
      <w:r w:rsidR="00766F90" w:rsidRPr="007B7326">
        <w:rPr>
          <w:sz w:val="28"/>
          <w:szCs w:val="28"/>
        </w:rPr>
        <w:t>5</w:t>
      </w:r>
      <w:r w:rsidRPr="007B7326">
        <w:rPr>
          <w:sz w:val="28"/>
          <w:szCs w:val="28"/>
        </w:rPr>
        <w:t xml:space="preserve"> </w:t>
      </w:r>
      <w:r w:rsidR="007B7326" w:rsidRPr="007B7326">
        <w:rPr>
          <w:sz w:val="28"/>
          <w:szCs w:val="28"/>
        </w:rPr>
        <w:t xml:space="preserve">% </w:t>
      </w:r>
      <w:r w:rsidR="0062500E">
        <w:rPr>
          <w:sz w:val="28"/>
          <w:szCs w:val="28"/>
        </w:rPr>
        <w:t xml:space="preserve">of children in Wales </w:t>
      </w:r>
      <w:r w:rsidR="007B7326" w:rsidRPr="007B7326">
        <w:rPr>
          <w:sz w:val="28"/>
          <w:szCs w:val="28"/>
        </w:rPr>
        <w:t>with decay</w:t>
      </w:r>
      <w:r w:rsidRPr="007B7326">
        <w:rPr>
          <w:sz w:val="28"/>
          <w:szCs w:val="28"/>
        </w:rPr>
        <w:t xml:space="preserve"> by Welsh Index of Multiple Deprivation</w:t>
      </w:r>
      <w:r w:rsidR="000D59F5">
        <w:rPr>
          <w:sz w:val="28"/>
          <w:szCs w:val="28"/>
        </w:rPr>
        <w:t xml:space="preserve"> (%dmft&gt;0)</w:t>
      </w:r>
      <w:r w:rsidR="0062500E">
        <w:rPr>
          <w:sz w:val="28"/>
          <w:szCs w:val="28"/>
        </w:rPr>
        <w:t xml:space="preserve">, </w:t>
      </w:r>
      <w:r w:rsidR="00677A8F">
        <w:rPr>
          <w:color w:val="000000" w:themeColor="text1"/>
          <w:sz w:val="28"/>
          <w:szCs w:val="28"/>
        </w:rPr>
        <w:t>2007/08 – 2015/16</w:t>
      </w:r>
    </w:p>
    <w:p w14:paraId="6FE9EDEA" w14:textId="77777777" w:rsidR="00B258F0" w:rsidRPr="00236A44" w:rsidRDefault="003120F4" w:rsidP="00D00338">
      <w:pPr>
        <w:spacing w:after="480"/>
        <w:rPr>
          <w:noProof/>
          <w:color w:val="FF0000"/>
          <w:sz w:val="24"/>
          <w:szCs w:val="24"/>
          <w:lang w:eastAsia="en-GB"/>
        </w:rPr>
      </w:pPr>
      <w:r>
        <w:rPr>
          <w:noProof/>
          <w:color w:val="FF0000"/>
          <w:sz w:val="24"/>
          <w:szCs w:val="24"/>
          <w:lang w:eastAsia="en-GB"/>
        </w:rPr>
        <w:drawing>
          <wp:inline distT="0" distB="0" distL="0" distR="0" wp14:anchorId="5374FE4D" wp14:editId="79576A14">
            <wp:extent cx="4057200" cy="28800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7200" cy="2880000"/>
                    </a:xfrm>
                    <a:prstGeom prst="rect">
                      <a:avLst/>
                    </a:prstGeom>
                    <a:noFill/>
                  </pic:spPr>
                </pic:pic>
              </a:graphicData>
            </a:graphic>
          </wp:inline>
        </w:drawing>
      </w:r>
    </w:p>
    <w:p w14:paraId="01176993" w14:textId="68919333" w:rsidR="00243F5D" w:rsidRDefault="00C40D09" w:rsidP="002F2A6E">
      <w:pPr>
        <w:spacing w:after="120"/>
        <w:outlineLvl w:val="0"/>
        <w:rPr>
          <w:b/>
          <w:sz w:val="28"/>
          <w:szCs w:val="28"/>
        </w:rPr>
      </w:pPr>
      <w:bookmarkStart w:id="11" w:name="PreventableLHB"/>
      <w:r>
        <w:rPr>
          <w:b/>
          <w:sz w:val="28"/>
          <w:szCs w:val="28"/>
        </w:rPr>
        <w:lastRenderedPageBreak/>
        <w:t>D</w:t>
      </w:r>
      <w:r w:rsidR="004E515B" w:rsidRPr="00F317BA">
        <w:rPr>
          <w:b/>
          <w:sz w:val="28"/>
          <w:szCs w:val="28"/>
        </w:rPr>
        <w:t xml:space="preserve">ecay in </w:t>
      </w:r>
      <w:r w:rsidR="006F4238" w:rsidRPr="00F317BA">
        <w:rPr>
          <w:b/>
          <w:sz w:val="28"/>
          <w:szCs w:val="28"/>
        </w:rPr>
        <w:t>Local Health Boards</w:t>
      </w:r>
    </w:p>
    <w:p w14:paraId="7A39EE90" w14:textId="77777777" w:rsidR="005A2102" w:rsidRPr="005A2102" w:rsidRDefault="005A2102" w:rsidP="005A2102">
      <w:pPr>
        <w:spacing w:after="120"/>
        <w:rPr>
          <w:b/>
          <w:sz w:val="24"/>
          <w:szCs w:val="24"/>
        </w:rPr>
      </w:pPr>
      <w:bookmarkStart w:id="12" w:name="AveragedmftLHB"/>
      <w:r w:rsidRPr="005A2102">
        <w:rPr>
          <w:b/>
          <w:sz w:val="24"/>
          <w:szCs w:val="24"/>
        </w:rPr>
        <w:t xml:space="preserve">Average decayed missing and filled teeth (dmft) in </w:t>
      </w:r>
      <w:r>
        <w:rPr>
          <w:b/>
          <w:sz w:val="24"/>
          <w:szCs w:val="24"/>
        </w:rPr>
        <w:t>LHBs</w:t>
      </w:r>
    </w:p>
    <w:bookmarkEnd w:id="11"/>
    <w:bookmarkEnd w:id="12"/>
    <w:p w14:paraId="1B81F311" w14:textId="77777777" w:rsidR="005A38FC" w:rsidRPr="00236A44" w:rsidRDefault="0062500E" w:rsidP="00BB3A3E">
      <w:pPr>
        <w:spacing w:after="300"/>
        <w:rPr>
          <w:color w:val="FF0000"/>
          <w:sz w:val="24"/>
          <w:szCs w:val="24"/>
        </w:rPr>
      </w:pPr>
      <w:r>
        <w:rPr>
          <w:sz w:val="24"/>
          <w:szCs w:val="24"/>
        </w:rPr>
        <w:t>Local Health B</w:t>
      </w:r>
      <w:r w:rsidR="00D00338">
        <w:rPr>
          <w:sz w:val="24"/>
          <w:szCs w:val="24"/>
        </w:rPr>
        <w:t>oard (LHB) m</w:t>
      </w:r>
      <w:r w:rsidR="001777A1" w:rsidRPr="00F317BA">
        <w:rPr>
          <w:sz w:val="24"/>
          <w:szCs w:val="24"/>
        </w:rPr>
        <w:t>ean dmft scores for 2007/08</w:t>
      </w:r>
      <w:r w:rsidR="00821684">
        <w:rPr>
          <w:sz w:val="24"/>
          <w:szCs w:val="24"/>
        </w:rPr>
        <w:t xml:space="preserve"> until 2015/16</w:t>
      </w:r>
      <w:r w:rsidR="001777A1" w:rsidRPr="00F317BA">
        <w:rPr>
          <w:sz w:val="24"/>
          <w:szCs w:val="24"/>
        </w:rPr>
        <w:t xml:space="preserve"> are </w:t>
      </w:r>
      <w:r w:rsidR="00734B14" w:rsidRPr="00F317BA">
        <w:rPr>
          <w:sz w:val="24"/>
          <w:szCs w:val="24"/>
        </w:rPr>
        <w:t xml:space="preserve">presented </w:t>
      </w:r>
      <w:r w:rsidR="001777A1" w:rsidRPr="00F317BA">
        <w:rPr>
          <w:sz w:val="24"/>
          <w:szCs w:val="24"/>
        </w:rPr>
        <w:t xml:space="preserve">in Figure </w:t>
      </w:r>
      <w:r w:rsidR="00B258F0" w:rsidRPr="00F317BA">
        <w:rPr>
          <w:sz w:val="24"/>
          <w:szCs w:val="24"/>
        </w:rPr>
        <w:t>6</w:t>
      </w:r>
      <w:r w:rsidR="001777A1" w:rsidRPr="00F317BA">
        <w:rPr>
          <w:sz w:val="24"/>
          <w:szCs w:val="24"/>
        </w:rPr>
        <w:t xml:space="preserve"> and have shown statistically significant reductions </w:t>
      </w:r>
      <w:r w:rsidR="00821684">
        <w:rPr>
          <w:sz w:val="24"/>
          <w:szCs w:val="24"/>
        </w:rPr>
        <w:t>over 9</w:t>
      </w:r>
      <w:r w:rsidR="00F317BA">
        <w:rPr>
          <w:sz w:val="24"/>
          <w:szCs w:val="24"/>
        </w:rPr>
        <w:t xml:space="preserve"> years </w:t>
      </w:r>
      <w:r w:rsidR="001777A1" w:rsidRPr="00F317BA">
        <w:rPr>
          <w:sz w:val="24"/>
          <w:szCs w:val="24"/>
        </w:rPr>
        <w:t xml:space="preserve">in </w:t>
      </w:r>
      <w:r w:rsidR="00F317BA">
        <w:rPr>
          <w:sz w:val="24"/>
          <w:szCs w:val="24"/>
        </w:rPr>
        <w:t xml:space="preserve">all </w:t>
      </w:r>
      <w:r>
        <w:rPr>
          <w:sz w:val="24"/>
          <w:szCs w:val="24"/>
        </w:rPr>
        <w:t>LHB</w:t>
      </w:r>
      <w:r w:rsidR="00821684">
        <w:rPr>
          <w:sz w:val="24"/>
          <w:szCs w:val="24"/>
        </w:rPr>
        <w:t>s except Cwm Taf</w:t>
      </w:r>
      <w:r w:rsidR="00F317BA">
        <w:rPr>
          <w:sz w:val="24"/>
          <w:szCs w:val="24"/>
        </w:rPr>
        <w:t>.</w:t>
      </w:r>
      <w:r w:rsidR="00821684">
        <w:rPr>
          <w:sz w:val="24"/>
          <w:szCs w:val="24"/>
        </w:rPr>
        <w:t xml:space="preserve">  The mean dmft in 2015/16</w:t>
      </w:r>
      <w:r w:rsidR="00D61F48">
        <w:rPr>
          <w:sz w:val="24"/>
          <w:szCs w:val="24"/>
        </w:rPr>
        <w:t xml:space="preserve"> ranged from 0.87 </w:t>
      </w:r>
      <w:r w:rsidR="00D00338">
        <w:rPr>
          <w:sz w:val="24"/>
          <w:szCs w:val="24"/>
        </w:rPr>
        <w:t xml:space="preserve">in </w:t>
      </w:r>
      <w:r w:rsidR="00D61F48">
        <w:rPr>
          <w:sz w:val="24"/>
          <w:szCs w:val="24"/>
        </w:rPr>
        <w:t>Powys to 1.65</w:t>
      </w:r>
      <w:r w:rsidR="00D00338">
        <w:rPr>
          <w:sz w:val="24"/>
          <w:szCs w:val="24"/>
        </w:rPr>
        <w:t xml:space="preserve"> in Cwm Taf.</w:t>
      </w:r>
    </w:p>
    <w:p w14:paraId="63568FA4" w14:textId="77777777" w:rsidR="00243F5D" w:rsidRPr="00393F29" w:rsidRDefault="005A38FC" w:rsidP="0031429F">
      <w:pPr>
        <w:spacing w:after="60"/>
        <w:outlineLvl w:val="0"/>
        <w:rPr>
          <w:color w:val="000000" w:themeColor="text1"/>
          <w:sz w:val="28"/>
          <w:szCs w:val="28"/>
        </w:rPr>
      </w:pPr>
      <w:r w:rsidRPr="00393F29">
        <w:rPr>
          <w:color w:val="000000" w:themeColor="text1"/>
          <w:sz w:val="28"/>
          <w:szCs w:val="28"/>
        </w:rPr>
        <w:t xml:space="preserve">Figure </w:t>
      </w:r>
      <w:r w:rsidR="00B258F0" w:rsidRPr="00393F29">
        <w:rPr>
          <w:color w:val="000000" w:themeColor="text1"/>
          <w:sz w:val="28"/>
          <w:szCs w:val="28"/>
        </w:rPr>
        <w:t>6</w:t>
      </w:r>
      <w:r w:rsidR="005933C7">
        <w:rPr>
          <w:color w:val="000000" w:themeColor="text1"/>
          <w:sz w:val="28"/>
          <w:szCs w:val="28"/>
        </w:rPr>
        <w:t xml:space="preserve"> Mean</w:t>
      </w:r>
      <w:r w:rsidR="000C21F4" w:rsidRPr="00393F29">
        <w:rPr>
          <w:color w:val="000000" w:themeColor="text1"/>
          <w:sz w:val="28"/>
          <w:szCs w:val="28"/>
        </w:rPr>
        <w:t xml:space="preserve"> dmft</w:t>
      </w:r>
      <w:r w:rsidR="001777A1" w:rsidRPr="00393F29">
        <w:rPr>
          <w:color w:val="000000" w:themeColor="text1"/>
          <w:sz w:val="28"/>
          <w:szCs w:val="28"/>
        </w:rPr>
        <w:t xml:space="preserve"> per 5 year old by LHB</w:t>
      </w:r>
      <w:r w:rsidR="00092CA2">
        <w:rPr>
          <w:color w:val="000000" w:themeColor="text1"/>
          <w:sz w:val="28"/>
          <w:szCs w:val="28"/>
        </w:rPr>
        <w:t>,</w:t>
      </w:r>
      <w:r w:rsidR="00092CA2" w:rsidRPr="00092CA2">
        <w:rPr>
          <w:color w:val="000000" w:themeColor="text1"/>
          <w:sz w:val="28"/>
          <w:szCs w:val="28"/>
        </w:rPr>
        <w:t xml:space="preserve"> </w:t>
      </w:r>
      <w:r w:rsidR="00E87864">
        <w:rPr>
          <w:color w:val="000000" w:themeColor="text1"/>
          <w:sz w:val="28"/>
          <w:szCs w:val="28"/>
        </w:rPr>
        <w:t>2007/08 – 2015</w:t>
      </w:r>
      <w:r w:rsidR="00AE1F57">
        <w:rPr>
          <w:color w:val="000000" w:themeColor="text1"/>
          <w:sz w:val="28"/>
          <w:szCs w:val="28"/>
        </w:rPr>
        <w:t>/1</w:t>
      </w:r>
      <w:r w:rsidR="00E87864">
        <w:rPr>
          <w:color w:val="000000" w:themeColor="text1"/>
          <w:sz w:val="28"/>
          <w:szCs w:val="28"/>
        </w:rPr>
        <w:t>6</w:t>
      </w:r>
    </w:p>
    <w:p w14:paraId="0392F4F0" w14:textId="77777777" w:rsidR="009C0CF7" w:rsidRDefault="00E87864" w:rsidP="00106EF7">
      <w:pPr>
        <w:spacing w:before="20" w:after="60"/>
        <w:rPr>
          <w:i/>
          <w:sz w:val="20"/>
          <w:szCs w:val="20"/>
        </w:rPr>
      </w:pPr>
      <w:r>
        <w:rPr>
          <w:i/>
          <w:noProof/>
          <w:sz w:val="20"/>
          <w:szCs w:val="20"/>
          <w:lang w:eastAsia="en-GB"/>
        </w:rPr>
        <w:drawing>
          <wp:inline distT="0" distB="0" distL="0" distR="0" wp14:anchorId="7A0FE2C0" wp14:editId="16A48E57">
            <wp:extent cx="5482800" cy="280800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2800" cy="2808000"/>
                    </a:xfrm>
                    <a:prstGeom prst="rect">
                      <a:avLst/>
                    </a:prstGeom>
                    <a:noFill/>
                  </pic:spPr>
                </pic:pic>
              </a:graphicData>
            </a:graphic>
          </wp:inline>
        </w:drawing>
      </w:r>
    </w:p>
    <w:p w14:paraId="375D9302" w14:textId="37CB58DB" w:rsidR="00106EF7" w:rsidRPr="005F244B" w:rsidRDefault="005143DB" w:rsidP="00106EF7">
      <w:pPr>
        <w:spacing w:before="20" w:after="60"/>
        <w:rPr>
          <w:i/>
          <w:sz w:val="20"/>
          <w:szCs w:val="20"/>
        </w:rPr>
      </w:pPr>
      <w:hyperlink w:anchor="APPENDIX2" w:history="1">
        <w:r w:rsidR="00106EF7" w:rsidRPr="00106EF7">
          <w:rPr>
            <w:rStyle w:val="Hyperlink"/>
            <w:i/>
            <w:sz w:val="20"/>
            <w:szCs w:val="20"/>
          </w:rPr>
          <w:t>See Appendices for data</w:t>
        </w:r>
      </w:hyperlink>
    </w:p>
    <w:p w14:paraId="3BCA9E62" w14:textId="77777777" w:rsidR="005A2102" w:rsidRPr="005A2102" w:rsidRDefault="005A2102" w:rsidP="000142E1">
      <w:pPr>
        <w:spacing w:before="240" w:after="120"/>
        <w:rPr>
          <w:b/>
          <w:sz w:val="24"/>
          <w:szCs w:val="24"/>
        </w:rPr>
      </w:pPr>
      <w:bookmarkStart w:id="13" w:name="PrevalenceLHBs"/>
      <w:r w:rsidRPr="005A2102">
        <w:rPr>
          <w:b/>
          <w:sz w:val="24"/>
          <w:szCs w:val="24"/>
        </w:rPr>
        <w:t>Prevalence of decay in LHBs</w:t>
      </w:r>
    </w:p>
    <w:bookmarkEnd w:id="13"/>
    <w:p w14:paraId="672AF13D" w14:textId="77777777" w:rsidR="00243F5D" w:rsidRPr="00393F29" w:rsidRDefault="001777A1" w:rsidP="00AD68F2">
      <w:pPr>
        <w:spacing w:after="60"/>
        <w:outlineLvl w:val="0"/>
        <w:rPr>
          <w:color w:val="000000" w:themeColor="text1"/>
          <w:sz w:val="28"/>
          <w:szCs w:val="28"/>
        </w:rPr>
      </w:pPr>
      <w:r w:rsidRPr="00393F29">
        <w:rPr>
          <w:color w:val="000000" w:themeColor="text1"/>
          <w:sz w:val="28"/>
          <w:szCs w:val="28"/>
        </w:rPr>
        <w:t xml:space="preserve">Figure </w:t>
      </w:r>
      <w:r w:rsidR="00B258F0" w:rsidRPr="00393F29">
        <w:rPr>
          <w:color w:val="000000" w:themeColor="text1"/>
          <w:sz w:val="28"/>
          <w:szCs w:val="28"/>
        </w:rPr>
        <w:t>7</w:t>
      </w:r>
      <w:r w:rsidRPr="00393F29">
        <w:rPr>
          <w:color w:val="000000" w:themeColor="text1"/>
          <w:sz w:val="28"/>
          <w:szCs w:val="28"/>
        </w:rPr>
        <w:t xml:space="preserve"> </w:t>
      </w:r>
      <w:r w:rsidR="00F45714" w:rsidRPr="00393F29">
        <w:rPr>
          <w:color w:val="000000" w:themeColor="text1"/>
          <w:sz w:val="28"/>
          <w:szCs w:val="28"/>
        </w:rPr>
        <w:t>Percentage with caries (%dmft&gt;0)</w:t>
      </w:r>
      <w:r w:rsidRPr="00393F29">
        <w:rPr>
          <w:color w:val="000000" w:themeColor="text1"/>
          <w:sz w:val="28"/>
          <w:szCs w:val="28"/>
        </w:rPr>
        <w:t xml:space="preserve"> among 5 year olds by LHB</w:t>
      </w:r>
      <w:r w:rsidR="00920428">
        <w:rPr>
          <w:color w:val="000000" w:themeColor="text1"/>
          <w:sz w:val="28"/>
          <w:szCs w:val="28"/>
        </w:rPr>
        <w:t>, 2007/08 – 2015/16</w:t>
      </w:r>
    </w:p>
    <w:p w14:paraId="7575909E" w14:textId="77777777" w:rsidR="008F0D02" w:rsidRPr="00236A44" w:rsidRDefault="00984F83" w:rsidP="00BB3A3E">
      <w:pPr>
        <w:spacing w:after="0"/>
        <w:rPr>
          <w:color w:val="FF0000"/>
        </w:rPr>
      </w:pPr>
      <w:r>
        <w:rPr>
          <w:noProof/>
          <w:color w:val="FF0000"/>
          <w:lang w:eastAsia="en-GB"/>
        </w:rPr>
        <w:drawing>
          <wp:inline distT="0" distB="0" distL="0" distR="0" wp14:anchorId="5795CBED" wp14:editId="41F56CC8">
            <wp:extent cx="5475600" cy="2808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5600" cy="2808000"/>
                    </a:xfrm>
                    <a:prstGeom prst="rect">
                      <a:avLst/>
                    </a:prstGeom>
                    <a:noFill/>
                  </pic:spPr>
                </pic:pic>
              </a:graphicData>
            </a:graphic>
          </wp:inline>
        </w:drawing>
      </w:r>
    </w:p>
    <w:p w14:paraId="1BDD86E4" w14:textId="77777777" w:rsidR="00106EF7" w:rsidRPr="005F244B" w:rsidRDefault="005143DB" w:rsidP="00106EF7">
      <w:pPr>
        <w:spacing w:before="20" w:after="60"/>
        <w:rPr>
          <w:i/>
          <w:sz w:val="20"/>
          <w:szCs w:val="20"/>
        </w:rPr>
      </w:pPr>
      <w:hyperlink w:anchor="APPENDIX2" w:history="1">
        <w:r w:rsidR="00106EF7" w:rsidRPr="00106EF7">
          <w:rPr>
            <w:rStyle w:val="Hyperlink"/>
            <w:i/>
            <w:sz w:val="20"/>
            <w:szCs w:val="20"/>
          </w:rPr>
          <w:t>See Appendices for data</w:t>
        </w:r>
      </w:hyperlink>
    </w:p>
    <w:p w14:paraId="5A5EB5BF" w14:textId="77777777" w:rsidR="00D00338" w:rsidRDefault="00E84FC6" w:rsidP="00E84FC6">
      <w:pPr>
        <w:spacing w:before="240" w:after="300"/>
        <w:rPr>
          <w:sz w:val="24"/>
          <w:szCs w:val="24"/>
        </w:rPr>
      </w:pPr>
      <w:r w:rsidRPr="00F317BA">
        <w:rPr>
          <w:sz w:val="24"/>
          <w:szCs w:val="24"/>
        </w:rPr>
        <w:lastRenderedPageBreak/>
        <w:t>Figure 7 illustrates the proportion of children with at least 1 decayed tooth (%dmft&gt;0)</w:t>
      </w:r>
      <w:r>
        <w:rPr>
          <w:sz w:val="24"/>
          <w:szCs w:val="24"/>
        </w:rPr>
        <w:t xml:space="preserve"> by LHB between 2007/08 and 2015/16</w:t>
      </w:r>
      <w:r w:rsidRPr="00F317BA">
        <w:rPr>
          <w:sz w:val="24"/>
          <w:szCs w:val="24"/>
        </w:rPr>
        <w:t>.</w:t>
      </w:r>
      <w:r w:rsidRPr="00236A44">
        <w:rPr>
          <w:color w:val="FF0000"/>
          <w:sz w:val="24"/>
          <w:szCs w:val="24"/>
        </w:rPr>
        <w:t xml:space="preserve"> </w:t>
      </w:r>
      <w:r>
        <w:rPr>
          <w:color w:val="FF0000"/>
          <w:sz w:val="24"/>
          <w:szCs w:val="24"/>
        </w:rPr>
        <w:t xml:space="preserve"> </w:t>
      </w:r>
      <w:r w:rsidR="004A2D2E">
        <w:rPr>
          <w:sz w:val="24"/>
          <w:szCs w:val="24"/>
        </w:rPr>
        <w:t>There</w:t>
      </w:r>
      <w:r w:rsidR="00D00338" w:rsidRPr="00D00338">
        <w:rPr>
          <w:sz w:val="24"/>
          <w:szCs w:val="24"/>
        </w:rPr>
        <w:t xml:space="preserve"> have been statistically significant reductions in this index for al</w:t>
      </w:r>
      <w:r w:rsidR="00D00338">
        <w:rPr>
          <w:sz w:val="24"/>
          <w:szCs w:val="24"/>
        </w:rPr>
        <w:t xml:space="preserve">l </w:t>
      </w:r>
      <w:r w:rsidR="00092CA2">
        <w:rPr>
          <w:sz w:val="24"/>
          <w:szCs w:val="24"/>
        </w:rPr>
        <w:t>LHBs</w:t>
      </w:r>
      <w:r w:rsidR="00D00338">
        <w:rPr>
          <w:sz w:val="24"/>
          <w:szCs w:val="24"/>
        </w:rPr>
        <w:t>, except Cwm Taf</w:t>
      </w:r>
      <w:r w:rsidR="00D00338" w:rsidRPr="00D00338">
        <w:rPr>
          <w:sz w:val="24"/>
          <w:szCs w:val="24"/>
        </w:rPr>
        <w:t>.</w:t>
      </w:r>
      <w:r w:rsidR="00D00338">
        <w:rPr>
          <w:sz w:val="24"/>
          <w:szCs w:val="24"/>
        </w:rPr>
        <w:t xml:space="preserve"> </w:t>
      </w:r>
      <w:r w:rsidR="00D00338" w:rsidRPr="00D00338">
        <w:rPr>
          <w:sz w:val="24"/>
          <w:szCs w:val="24"/>
        </w:rPr>
        <w:t xml:space="preserve">  In 201</w:t>
      </w:r>
      <w:r w:rsidR="004A2D2E">
        <w:rPr>
          <w:sz w:val="24"/>
          <w:szCs w:val="24"/>
        </w:rPr>
        <w:t>5</w:t>
      </w:r>
      <w:r w:rsidR="00D00338" w:rsidRPr="00D00338">
        <w:rPr>
          <w:sz w:val="24"/>
          <w:szCs w:val="24"/>
        </w:rPr>
        <w:t>/1</w:t>
      </w:r>
      <w:r w:rsidR="004A2D2E">
        <w:rPr>
          <w:sz w:val="24"/>
          <w:szCs w:val="24"/>
        </w:rPr>
        <w:t>6</w:t>
      </w:r>
      <w:r w:rsidR="00D00338" w:rsidRPr="00D00338">
        <w:rPr>
          <w:sz w:val="24"/>
          <w:szCs w:val="24"/>
        </w:rPr>
        <w:t xml:space="preserve"> the percentage of children with caries experience ranged from 2</w:t>
      </w:r>
      <w:r w:rsidR="00DD7BC6">
        <w:rPr>
          <w:sz w:val="24"/>
          <w:szCs w:val="24"/>
        </w:rPr>
        <w:t>6.3</w:t>
      </w:r>
      <w:r w:rsidR="00D00338" w:rsidRPr="00D00338">
        <w:rPr>
          <w:sz w:val="24"/>
          <w:szCs w:val="24"/>
        </w:rPr>
        <w:t xml:space="preserve">% in </w:t>
      </w:r>
      <w:r w:rsidR="00DD7BC6">
        <w:rPr>
          <w:sz w:val="24"/>
          <w:szCs w:val="24"/>
        </w:rPr>
        <w:t>Hywel Dda to 47</w:t>
      </w:r>
      <w:r w:rsidR="00D00338" w:rsidRPr="00D00338">
        <w:rPr>
          <w:sz w:val="24"/>
          <w:szCs w:val="24"/>
        </w:rPr>
        <w:t xml:space="preserve">.3% in Cwm Taf. </w:t>
      </w:r>
    </w:p>
    <w:p w14:paraId="4588A3BD" w14:textId="77777777" w:rsidR="008721BA" w:rsidRPr="001A219B" w:rsidRDefault="008721BA" w:rsidP="008721BA">
      <w:pPr>
        <w:spacing w:before="360" w:after="120"/>
        <w:rPr>
          <w:b/>
          <w:sz w:val="24"/>
          <w:szCs w:val="24"/>
        </w:rPr>
      </w:pPr>
      <w:bookmarkStart w:id="14" w:name="MeandecaywithdecayLHB"/>
      <w:r>
        <w:rPr>
          <w:b/>
          <w:sz w:val="24"/>
          <w:szCs w:val="24"/>
        </w:rPr>
        <w:t>LHB - D</w:t>
      </w:r>
      <w:r w:rsidRPr="001A219B">
        <w:rPr>
          <w:b/>
          <w:sz w:val="24"/>
          <w:szCs w:val="24"/>
        </w:rPr>
        <w:t>ecay experience of those with decay affected teeth (mean dmft where dmft&gt;0)</w:t>
      </w:r>
    </w:p>
    <w:bookmarkEnd w:id="14"/>
    <w:p w14:paraId="25FE7230" w14:textId="77777777" w:rsidR="00E00351" w:rsidRPr="007333A6" w:rsidRDefault="00E00351" w:rsidP="009C0CF7">
      <w:pPr>
        <w:spacing w:before="120" w:after="60"/>
        <w:rPr>
          <w:sz w:val="28"/>
          <w:szCs w:val="28"/>
        </w:rPr>
      </w:pPr>
      <w:r w:rsidRPr="007333A6">
        <w:rPr>
          <w:sz w:val="28"/>
          <w:szCs w:val="28"/>
        </w:rPr>
        <w:t xml:space="preserve">Figure 8 Mean dmft </w:t>
      </w:r>
      <w:r w:rsidR="004D5793">
        <w:rPr>
          <w:sz w:val="28"/>
          <w:szCs w:val="28"/>
        </w:rPr>
        <w:t xml:space="preserve">of those with decay experience </w:t>
      </w:r>
      <w:r w:rsidR="004D5793" w:rsidRPr="004D5793">
        <w:rPr>
          <w:sz w:val="28"/>
          <w:szCs w:val="28"/>
        </w:rPr>
        <w:t>(</w:t>
      </w:r>
      <w:r w:rsidR="004D5793" w:rsidRPr="004D5793">
        <w:rPr>
          <w:color w:val="000000" w:themeColor="text1"/>
          <w:sz w:val="28"/>
          <w:szCs w:val="28"/>
        </w:rPr>
        <w:t>mean dmft where dmft&gt;0)</w:t>
      </w:r>
      <w:r w:rsidRPr="004D5793">
        <w:rPr>
          <w:sz w:val="28"/>
          <w:szCs w:val="28"/>
        </w:rPr>
        <w:t xml:space="preserve"> </w:t>
      </w:r>
      <w:r w:rsidRPr="007333A6">
        <w:rPr>
          <w:sz w:val="28"/>
          <w:szCs w:val="28"/>
        </w:rPr>
        <w:t>by LHB</w:t>
      </w:r>
      <w:r w:rsidR="00092CA2">
        <w:rPr>
          <w:sz w:val="28"/>
          <w:szCs w:val="28"/>
        </w:rPr>
        <w:t xml:space="preserve">, </w:t>
      </w:r>
      <w:r w:rsidR="008721BA">
        <w:rPr>
          <w:color w:val="000000" w:themeColor="text1"/>
          <w:sz w:val="28"/>
          <w:szCs w:val="28"/>
        </w:rPr>
        <w:t>2007/08 – 2015/16</w:t>
      </w:r>
    </w:p>
    <w:p w14:paraId="2D6F5DD3" w14:textId="77777777" w:rsidR="00E00351" w:rsidRPr="00236A44" w:rsidRDefault="00E00351" w:rsidP="00E00351">
      <w:pPr>
        <w:spacing w:after="0"/>
        <w:rPr>
          <w:color w:val="FF0000"/>
        </w:rPr>
      </w:pPr>
    </w:p>
    <w:p w14:paraId="58370F43" w14:textId="77777777" w:rsidR="00106EF7" w:rsidRPr="005F244B" w:rsidRDefault="00E84FC6" w:rsidP="00106EF7">
      <w:pPr>
        <w:spacing w:before="20" w:after="60"/>
        <w:rPr>
          <w:i/>
          <w:sz w:val="20"/>
          <w:szCs w:val="20"/>
        </w:rPr>
      </w:pPr>
      <w:r>
        <w:rPr>
          <w:noProof/>
          <w:sz w:val="24"/>
          <w:szCs w:val="24"/>
          <w:lang w:eastAsia="en-GB"/>
        </w:rPr>
        <w:drawing>
          <wp:inline distT="0" distB="0" distL="0" distR="0" wp14:anchorId="7B1748D4" wp14:editId="4751ED25">
            <wp:extent cx="5731510" cy="316645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166450"/>
                    </a:xfrm>
                    <a:prstGeom prst="rect">
                      <a:avLst/>
                    </a:prstGeom>
                    <a:noFill/>
                  </pic:spPr>
                </pic:pic>
              </a:graphicData>
            </a:graphic>
          </wp:inline>
        </w:drawing>
      </w:r>
      <w:r w:rsidRPr="00E84FC6">
        <w:rPr>
          <w:i/>
          <w:sz w:val="20"/>
          <w:szCs w:val="20"/>
          <w:highlight w:val="yellow"/>
        </w:rPr>
        <w:t xml:space="preserve"> </w:t>
      </w:r>
      <w:hyperlink w:anchor="APPENDIX2" w:history="1">
        <w:r w:rsidR="00106EF7" w:rsidRPr="00106EF7">
          <w:rPr>
            <w:rStyle w:val="Hyperlink"/>
            <w:i/>
            <w:sz w:val="20"/>
            <w:szCs w:val="20"/>
          </w:rPr>
          <w:t>See Appendices for data</w:t>
        </w:r>
      </w:hyperlink>
    </w:p>
    <w:p w14:paraId="4230EE85" w14:textId="2DF813F2" w:rsidR="00486F7F" w:rsidRDefault="00486F7F" w:rsidP="009C0CF7">
      <w:pPr>
        <w:spacing w:before="240" w:after="360"/>
        <w:rPr>
          <w:sz w:val="24"/>
          <w:szCs w:val="24"/>
        </w:rPr>
      </w:pPr>
      <w:r w:rsidRPr="00486F7F">
        <w:rPr>
          <w:sz w:val="24"/>
          <w:szCs w:val="24"/>
        </w:rPr>
        <w:t xml:space="preserve">Figure 8 presents the average number (from 1 to 20) of decayed teeth for children with some decay, </w:t>
      </w:r>
      <w:r>
        <w:rPr>
          <w:sz w:val="24"/>
          <w:szCs w:val="24"/>
        </w:rPr>
        <w:t>i.e.</w:t>
      </w:r>
      <w:r w:rsidRPr="00486F7F">
        <w:rPr>
          <w:sz w:val="24"/>
          <w:szCs w:val="24"/>
        </w:rPr>
        <w:t xml:space="preserve"> mean dmft of those with dmft. </w:t>
      </w:r>
      <w:r>
        <w:rPr>
          <w:sz w:val="24"/>
          <w:szCs w:val="24"/>
        </w:rPr>
        <w:t xml:space="preserve"> </w:t>
      </w:r>
      <w:r w:rsidR="00D2599E">
        <w:rPr>
          <w:sz w:val="24"/>
          <w:szCs w:val="24"/>
        </w:rPr>
        <w:t>In 2015/16 this ranged from 3.29</w:t>
      </w:r>
      <w:r w:rsidRPr="00486F7F">
        <w:rPr>
          <w:sz w:val="24"/>
          <w:szCs w:val="24"/>
        </w:rPr>
        <w:t xml:space="preserve"> in </w:t>
      </w:r>
      <w:r w:rsidR="00D2599E">
        <w:rPr>
          <w:sz w:val="24"/>
          <w:szCs w:val="24"/>
        </w:rPr>
        <w:t>Powys</w:t>
      </w:r>
      <w:r w:rsidRPr="00486F7F">
        <w:rPr>
          <w:sz w:val="24"/>
          <w:szCs w:val="24"/>
        </w:rPr>
        <w:t xml:space="preserve"> to 3.</w:t>
      </w:r>
      <w:r w:rsidR="00D2599E">
        <w:rPr>
          <w:sz w:val="24"/>
          <w:szCs w:val="24"/>
        </w:rPr>
        <w:t>90</w:t>
      </w:r>
      <w:r w:rsidRPr="00486F7F">
        <w:rPr>
          <w:sz w:val="24"/>
          <w:szCs w:val="24"/>
        </w:rPr>
        <w:t xml:space="preserve"> in Aneurin Bevan.  </w:t>
      </w:r>
      <w:r w:rsidR="00002E0B">
        <w:rPr>
          <w:sz w:val="24"/>
          <w:szCs w:val="24"/>
        </w:rPr>
        <w:t>The range in 2007/08 was from 3.73 in Cardiff and Va</w:t>
      </w:r>
      <w:r w:rsidR="008C751D">
        <w:rPr>
          <w:sz w:val="24"/>
          <w:szCs w:val="24"/>
        </w:rPr>
        <w:t>le to 4.41 in Abertawe B</w:t>
      </w:r>
      <w:r w:rsidR="00002E0B">
        <w:rPr>
          <w:sz w:val="24"/>
          <w:szCs w:val="24"/>
        </w:rPr>
        <w:t>ro Morgannwg. The gradual reduction in this indicator is a sign of improved caries experience across the full spectrum.</w:t>
      </w:r>
    </w:p>
    <w:p w14:paraId="6A3B4C2A" w14:textId="4783BB00" w:rsidR="008E6554" w:rsidRPr="00246752" w:rsidRDefault="00231C01" w:rsidP="00BB3A3E">
      <w:pPr>
        <w:spacing w:before="360" w:after="120"/>
        <w:outlineLvl w:val="0"/>
        <w:rPr>
          <w:b/>
          <w:sz w:val="24"/>
          <w:szCs w:val="24"/>
        </w:rPr>
      </w:pPr>
      <w:bookmarkStart w:id="15" w:name="PreventableUA"/>
      <w:r w:rsidRPr="00246752">
        <w:rPr>
          <w:b/>
          <w:sz w:val="28"/>
          <w:szCs w:val="28"/>
        </w:rPr>
        <w:t>Decay in Unitary Authorities</w:t>
      </w:r>
      <w:r w:rsidR="00786415" w:rsidRPr="00246752">
        <w:rPr>
          <w:b/>
          <w:sz w:val="28"/>
          <w:szCs w:val="28"/>
        </w:rPr>
        <w:t xml:space="preserve"> </w:t>
      </w:r>
    </w:p>
    <w:bookmarkEnd w:id="15"/>
    <w:p w14:paraId="7FE5DE04" w14:textId="77777777" w:rsidR="00A3112B" w:rsidRPr="00246752" w:rsidRDefault="00CA000B">
      <w:pPr>
        <w:rPr>
          <w:sz w:val="24"/>
          <w:szCs w:val="24"/>
        </w:rPr>
      </w:pPr>
      <w:r w:rsidRPr="00246752">
        <w:rPr>
          <w:sz w:val="24"/>
          <w:szCs w:val="24"/>
        </w:rPr>
        <w:t>As Unitary Authorities have smaller populations than LHBs</w:t>
      </w:r>
      <w:r w:rsidR="0058199F" w:rsidRPr="00246752">
        <w:rPr>
          <w:sz w:val="24"/>
          <w:szCs w:val="24"/>
        </w:rPr>
        <w:t xml:space="preserve"> the sample size for the survey is smaller and findings from the survey are therefore less likely to demonstrate statistically significant changes.</w:t>
      </w:r>
      <w:r w:rsidR="00A3112B" w:rsidRPr="00246752">
        <w:rPr>
          <w:sz w:val="24"/>
          <w:szCs w:val="24"/>
        </w:rPr>
        <w:t xml:space="preserve"> </w:t>
      </w:r>
    </w:p>
    <w:p w14:paraId="30833BD6" w14:textId="29CB8828" w:rsidR="0058199F" w:rsidRPr="00236A44" w:rsidRDefault="0058199F">
      <w:pPr>
        <w:rPr>
          <w:color w:val="FF0000"/>
          <w:sz w:val="24"/>
          <w:szCs w:val="24"/>
        </w:rPr>
      </w:pPr>
      <w:r w:rsidRPr="00246752">
        <w:rPr>
          <w:sz w:val="24"/>
          <w:szCs w:val="24"/>
        </w:rPr>
        <w:t xml:space="preserve">The </w:t>
      </w:r>
      <w:r w:rsidR="007F7D5A">
        <w:rPr>
          <w:sz w:val="24"/>
          <w:szCs w:val="24"/>
        </w:rPr>
        <w:t>%</w:t>
      </w:r>
      <w:r w:rsidRPr="00246752">
        <w:rPr>
          <w:sz w:val="24"/>
          <w:szCs w:val="24"/>
        </w:rPr>
        <w:t>dmft</w:t>
      </w:r>
      <w:r w:rsidR="007F7D5A">
        <w:rPr>
          <w:sz w:val="24"/>
          <w:szCs w:val="24"/>
        </w:rPr>
        <w:t>&gt;0</w:t>
      </w:r>
      <w:r w:rsidRPr="00246752">
        <w:rPr>
          <w:sz w:val="24"/>
          <w:szCs w:val="24"/>
        </w:rPr>
        <w:t xml:space="preserve"> by Unitary Authority is shown in Appendix 1 for </w:t>
      </w:r>
      <w:r w:rsidR="00A3112B" w:rsidRPr="00246752">
        <w:rPr>
          <w:sz w:val="24"/>
          <w:szCs w:val="24"/>
        </w:rPr>
        <w:t xml:space="preserve">each </w:t>
      </w:r>
      <w:r w:rsidR="00246752" w:rsidRPr="00246752">
        <w:rPr>
          <w:sz w:val="24"/>
          <w:szCs w:val="24"/>
        </w:rPr>
        <w:t>LHB</w:t>
      </w:r>
      <w:r w:rsidR="00A3112B" w:rsidRPr="00246752">
        <w:rPr>
          <w:sz w:val="24"/>
          <w:szCs w:val="24"/>
        </w:rPr>
        <w:t xml:space="preserve"> </w:t>
      </w:r>
      <w:r w:rsidR="00246752" w:rsidRPr="00246752">
        <w:rPr>
          <w:sz w:val="24"/>
          <w:szCs w:val="24"/>
        </w:rPr>
        <w:t>in</w:t>
      </w:r>
      <w:r w:rsidR="00A3112B" w:rsidRPr="00246752">
        <w:rPr>
          <w:sz w:val="24"/>
          <w:szCs w:val="24"/>
        </w:rPr>
        <w:t xml:space="preserve"> Wales for 2007/08</w:t>
      </w:r>
      <w:r w:rsidR="00D20889" w:rsidRPr="00246752">
        <w:rPr>
          <w:sz w:val="24"/>
          <w:szCs w:val="24"/>
        </w:rPr>
        <w:t xml:space="preserve"> to 2015</w:t>
      </w:r>
      <w:r w:rsidR="00A3112B" w:rsidRPr="00246752">
        <w:rPr>
          <w:sz w:val="24"/>
          <w:szCs w:val="24"/>
        </w:rPr>
        <w:t>/</w:t>
      </w:r>
      <w:r w:rsidR="00D20889" w:rsidRPr="00246752">
        <w:rPr>
          <w:sz w:val="24"/>
          <w:szCs w:val="24"/>
        </w:rPr>
        <w:t>16</w:t>
      </w:r>
      <w:r w:rsidRPr="00246752">
        <w:rPr>
          <w:sz w:val="24"/>
          <w:szCs w:val="24"/>
        </w:rPr>
        <w:t>.</w:t>
      </w:r>
      <w:r w:rsidR="001C6CD8" w:rsidRPr="00246752">
        <w:rPr>
          <w:color w:val="FF0000"/>
          <w:sz w:val="24"/>
          <w:szCs w:val="24"/>
        </w:rPr>
        <w:t xml:space="preserve"> </w:t>
      </w:r>
      <w:r w:rsidR="001C6CD8" w:rsidRPr="00246752">
        <w:rPr>
          <w:sz w:val="24"/>
          <w:szCs w:val="24"/>
        </w:rPr>
        <w:t>S</w:t>
      </w:r>
      <w:r w:rsidRPr="00246752">
        <w:rPr>
          <w:sz w:val="24"/>
          <w:szCs w:val="24"/>
        </w:rPr>
        <w:t>tatistical</w:t>
      </w:r>
      <w:r w:rsidR="001C6CD8" w:rsidRPr="00246752">
        <w:rPr>
          <w:sz w:val="24"/>
          <w:szCs w:val="24"/>
        </w:rPr>
        <w:t>ly</w:t>
      </w:r>
      <w:r w:rsidRPr="00246752">
        <w:rPr>
          <w:sz w:val="24"/>
          <w:szCs w:val="24"/>
        </w:rPr>
        <w:t xml:space="preserve"> significance </w:t>
      </w:r>
      <w:r w:rsidR="001C6CD8" w:rsidRPr="00246752">
        <w:rPr>
          <w:sz w:val="24"/>
          <w:szCs w:val="24"/>
        </w:rPr>
        <w:t>reductions in</w:t>
      </w:r>
      <w:r w:rsidRPr="00246752">
        <w:rPr>
          <w:sz w:val="24"/>
          <w:szCs w:val="24"/>
        </w:rPr>
        <w:t xml:space="preserve"> decay </w:t>
      </w:r>
      <w:r w:rsidR="00D20889" w:rsidRPr="00246752">
        <w:rPr>
          <w:sz w:val="24"/>
          <w:szCs w:val="24"/>
        </w:rPr>
        <w:t>have been</w:t>
      </w:r>
      <w:r w:rsidR="00627760" w:rsidRPr="00246752">
        <w:rPr>
          <w:sz w:val="24"/>
          <w:szCs w:val="24"/>
        </w:rPr>
        <w:t xml:space="preserve"> </w:t>
      </w:r>
      <w:r w:rsidR="001C6CD8" w:rsidRPr="00246752">
        <w:rPr>
          <w:sz w:val="24"/>
          <w:szCs w:val="24"/>
        </w:rPr>
        <w:t xml:space="preserve">seen in </w:t>
      </w:r>
      <w:r w:rsidR="00807FB8" w:rsidRPr="00807FB8">
        <w:rPr>
          <w:sz w:val="24"/>
          <w:szCs w:val="24"/>
        </w:rPr>
        <w:t>11</w:t>
      </w:r>
      <w:r w:rsidR="001C6CD8" w:rsidRPr="00246752">
        <w:rPr>
          <w:sz w:val="24"/>
          <w:szCs w:val="24"/>
        </w:rPr>
        <w:t xml:space="preserve"> of the 22 Unitary Authorities</w:t>
      </w:r>
      <w:r w:rsidRPr="00246752">
        <w:rPr>
          <w:sz w:val="24"/>
          <w:szCs w:val="24"/>
        </w:rPr>
        <w:t>.</w:t>
      </w:r>
    </w:p>
    <w:p w14:paraId="2131775C" w14:textId="77777777" w:rsidR="0058199F" w:rsidRPr="001C6CD8" w:rsidRDefault="00C40D09" w:rsidP="00F91D05">
      <w:pPr>
        <w:spacing w:before="240" w:after="120"/>
        <w:outlineLvl w:val="0"/>
        <w:rPr>
          <w:b/>
          <w:sz w:val="28"/>
          <w:szCs w:val="28"/>
        </w:rPr>
      </w:pPr>
      <w:r>
        <w:rPr>
          <w:b/>
          <w:sz w:val="28"/>
          <w:szCs w:val="28"/>
        </w:rPr>
        <w:lastRenderedPageBreak/>
        <w:t>Wider UK D</w:t>
      </w:r>
      <w:r w:rsidR="0058199F" w:rsidRPr="001C6CD8">
        <w:rPr>
          <w:b/>
          <w:sz w:val="28"/>
          <w:szCs w:val="28"/>
        </w:rPr>
        <w:t>ata</w:t>
      </w:r>
    </w:p>
    <w:p w14:paraId="449B01FB" w14:textId="0836BAD0" w:rsidR="009C636B" w:rsidRPr="009C636B" w:rsidRDefault="0058199F" w:rsidP="00D81935">
      <w:pPr>
        <w:spacing w:after="360"/>
        <w:rPr>
          <w:rStyle w:val="Hyperlink"/>
          <w:sz w:val="24"/>
          <w:szCs w:val="24"/>
        </w:rPr>
      </w:pPr>
      <w:r w:rsidRPr="009C636B">
        <w:rPr>
          <w:sz w:val="24"/>
          <w:szCs w:val="24"/>
        </w:rPr>
        <w:t>At the time of drafting this report wider UK data for</w:t>
      </w:r>
      <w:r w:rsidR="00715F99" w:rsidRPr="009C636B">
        <w:rPr>
          <w:sz w:val="24"/>
          <w:szCs w:val="24"/>
        </w:rPr>
        <w:t xml:space="preserve"> mean dmft for</w:t>
      </w:r>
      <w:r w:rsidR="001C6CD8" w:rsidRPr="009C636B">
        <w:rPr>
          <w:sz w:val="24"/>
          <w:szCs w:val="24"/>
        </w:rPr>
        <w:t xml:space="preserve"> 2014/2015</w:t>
      </w:r>
      <w:r w:rsidRPr="009C636B">
        <w:rPr>
          <w:sz w:val="24"/>
          <w:szCs w:val="24"/>
        </w:rPr>
        <w:t xml:space="preserve"> is not available. In due course </w:t>
      </w:r>
      <w:r w:rsidR="00B12090" w:rsidRPr="009C636B">
        <w:rPr>
          <w:sz w:val="24"/>
          <w:szCs w:val="24"/>
        </w:rPr>
        <w:t>access to this data</w:t>
      </w:r>
      <w:r w:rsidRPr="009C636B">
        <w:rPr>
          <w:sz w:val="24"/>
          <w:szCs w:val="24"/>
        </w:rPr>
        <w:t xml:space="preserve"> should be available via</w:t>
      </w:r>
      <w:r w:rsidR="00B12090" w:rsidRPr="009C636B">
        <w:rPr>
          <w:sz w:val="24"/>
          <w:szCs w:val="24"/>
        </w:rPr>
        <w:t xml:space="preserve"> links on</w:t>
      </w:r>
      <w:r w:rsidRPr="009C636B">
        <w:rPr>
          <w:sz w:val="24"/>
          <w:szCs w:val="24"/>
        </w:rPr>
        <w:t xml:space="preserve"> the </w:t>
      </w:r>
      <w:r w:rsidR="009C636B">
        <w:rPr>
          <w:sz w:val="24"/>
          <w:szCs w:val="24"/>
        </w:rPr>
        <w:fldChar w:fldCharType="begin"/>
      </w:r>
      <w:r w:rsidR="009C636B">
        <w:rPr>
          <w:sz w:val="24"/>
          <w:szCs w:val="24"/>
        </w:rPr>
        <w:instrText xml:space="preserve"> HYPERLINK "http://www.bascd.org/oral-health-surveys" </w:instrText>
      </w:r>
      <w:r w:rsidR="009C636B">
        <w:rPr>
          <w:sz w:val="24"/>
          <w:szCs w:val="24"/>
        </w:rPr>
        <w:fldChar w:fldCharType="separate"/>
      </w:r>
      <w:r w:rsidRPr="009C636B">
        <w:rPr>
          <w:rStyle w:val="Hyperlink"/>
          <w:sz w:val="24"/>
          <w:szCs w:val="24"/>
        </w:rPr>
        <w:t>British Association for the Study of Community Dentistry website.</w:t>
      </w:r>
      <w:r w:rsidR="00386F00" w:rsidRPr="009C636B">
        <w:rPr>
          <w:rStyle w:val="Hyperlink"/>
          <w:sz w:val="24"/>
          <w:szCs w:val="24"/>
        </w:rPr>
        <w:t xml:space="preserve"> </w:t>
      </w:r>
    </w:p>
    <w:p w14:paraId="01BCBF8B" w14:textId="4AF77070" w:rsidR="008E6554" w:rsidRDefault="009C636B" w:rsidP="008E2DC9">
      <w:pPr>
        <w:spacing w:after="360"/>
        <w:rPr>
          <w:sz w:val="24"/>
          <w:szCs w:val="24"/>
        </w:rPr>
      </w:pPr>
      <w:r>
        <w:rPr>
          <w:sz w:val="24"/>
          <w:szCs w:val="24"/>
        </w:rPr>
        <w:fldChar w:fldCharType="end"/>
      </w:r>
      <w:r w:rsidR="008E2DC9">
        <w:rPr>
          <w:sz w:val="24"/>
          <w:szCs w:val="24"/>
        </w:rPr>
        <w:t xml:space="preserve">Wider UK data is reported alongside Welsh data in publications in the Community Dental Health Journal.  The </w:t>
      </w:r>
      <w:hyperlink r:id="rId18" w:history="1">
        <w:r w:rsidR="008E2DC9" w:rsidRPr="008E2DC9">
          <w:rPr>
            <w:rStyle w:val="Hyperlink"/>
            <w:sz w:val="24"/>
            <w:szCs w:val="24"/>
          </w:rPr>
          <w:t>latest paper</w:t>
        </w:r>
      </w:hyperlink>
      <w:r w:rsidR="008E2DC9">
        <w:rPr>
          <w:sz w:val="24"/>
          <w:szCs w:val="24"/>
        </w:rPr>
        <w:t xml:space="preserve"> reviews data from 2014/15 across Great Britain (</w:t>
      </w:r>
      <w:r w:rsidR="008E2DC9" w:rsidRPr="008E2DC9">
        <w:rPr>
          <w:i/>
          <w:sz w:val="24"/>
          <w:szCs w:val="24"/>
        </w:rPr>
        <w:t>The caries experience of 5 year-old children in Scotland in 2013-2014, and in England and Wales in 2014-2015. Reports of cross-sectional dental surveys using BASCD criteria</w:t>
      </w:r>
      <w:r w:rsidR="008E2DC9">
        <w:rPr>
          <w:sz w:val="24"/>
          <w:szCs w:val="24"/>
        </w:rPr>
        <w:t xml:space="preserve">). </w:t>
      </w:r>
    </w:p>
    <w:p w14:paraId="4654E413" w14:textId="267D0C0C" w:rsidR="00E45435" w:rsidRDefault="00E45435" w:rsidP="008E2DC9">
      <w:pPr>
        <w:spacing w:after="360"/>
        <w:rPr>
          <w:sz w:val="24"/>
          <w:szCs w:val="24"/>
        </w:rPr>
      </w:pPr>
      <w:r>
        <w:rPr>
          <w:sz w:val="24"/>
          <w:szCs w:val="24"/>
        </w:rPr>
        <w:t xml:space="preserve">Scotland publishes findings from its </w:t>
      </w:r>
      <w:hyperlink r:id="rId19" w:history="1">
        <w:r w:rsidRPr="00E45435">
          <w:rPr>
            <w:rStyle w:val="Hyperlink"/>
            <w:sz w:val="24"/>
            <w:szCs w:val="24"/>
          </w:rPr>
          <w:t>dental inspection</w:t>
        </w:r>
      </w:hyperlink>
      <w:r>
        <w:rPr>
          <w:sz w:val="24"/>
          <w:szCs w:val="24"/>
        </w:rPr>
        <w:t xml:space="preserve"> programme.</w:t>
      </w:r>
    </w:p>
    <w:p w14:paraId="2643E893" w14:textId="0DB620C3" w:rsidR="00E45435" w:rsidRPr="00E45435" w:rsidRDefault="00E45435" w:rsidP="008E2DC9">
      <w:pPr>
        <w:spacing w:after="360"/>
        <w:rPr>
          <w:sz w:val="24"/>
          <w:szCs w:val="24"/>
        </w:rPr>
      </w:pPr>
      <w:r>
        <w:rPr>
          <w:sz w:val="24"/>
          <w:szCs w:val="24"/>
        </w:rPr>
        <w:t xml:space="preserve">England publishes findings from its dental surveys on the </w:t>
      </w:r>
      <w:hyperlink r:id="rId20" w:history="1">
        <w:r w:rsidRPr="00E45435">
          <w:rPr>
            <w:rStyle w:val="Hyperlink"/>
            <w:sz w:val="24"/>
            <w:szCs w:val="24"/>
          </w:rPr>
          <w:t>English Dental Observatory</w:t>
        </w:r>
      </w:hyperlink>
      <w:r>
        <w:rPr>
          <w:sz w:val="24"/>
          <w:szCs w:val="24"/>
        </w:rPr>
        <w:t xml:space="preserve"> website.</w:t>
      </w:r>
    </w:p>
    <w:p w14:paraId="60A5B917" w14:textId="77777777" w:rsidR="00C03843" w:rsidRDefault="00C03843">
      <w:pPr>
        <w:rPr>
          <w:b/>
          <w:sz w:val="28"/>
          <w:szCs w:val="28"/>
        </w:rPr>
      </w:pPr>
      <w:bookmarkStart w:id="16" w:name="D2SImpact"/>
      <w:r>
        <w:rPr>
          <w:b/>
          <w:sz w:val="28"/>
          <w:szCs w:val="28"/>
        </w:rPr>
        <w:br w:type="page"/>
      </w:r>
    </w:p>
    <w:p w14:paraId="79828EC6" w14:textId="273613E3" w:rsidR="00786415" w:rsidRPr="00C27F3D" w:rsidRDefault="000A069F" w:rsidP="00692B89">
      <w:pPr>
        <w:spacing w:after="120"/>
        <w:outlineLvl w:val="0"/>
        <w:rPr>
          <w:b/>
          <w:sz w:val="28"/>
          <w:szCs w:val="28"/>
        </w:rPr>
      </w:pPr>
      <w:r w:rsidRPr="00C27F3D">
        <w:rPr>
          <w:b/>
          <w:sz w:val="28"/>
          <w:szCs w:val="28"/>
        </w:rPr>
        <w:lastRenderedPageBreak/>
        <w:t>Designed to Smile</w:t>
      </w:r>
      <w:r w:rsidR="00C40D09">
        <w:rPr>
          <w:b/>
          <w:sz w:val="28"/>
          <w:szCs w:val="28"/>
        </w:rPr>
        <w:t xml:space="preserve"> I</w:t>
      </w:r>
      <w:r w:rsidR="00692B89">
        <w:rPr>
          <w:b/>
          <w:sz w:val="28"/>
          <w:szCs w:val="28"/>
        </w:rPr>
        <w:t>mpact</w:t>
      </w:r>
    </w:p>
    <w:bookmarkEnd w:id="16"/>
    <w:p w14:paraId="20AC4368" w14:textId="21DD9CFC" w:rsidR="008C340E" w:rsidRPr="00C27F3D" w:rsidRDefault="002F2A6E" w:rsidP="002F2A6E">
      <w:pPr>
        <w:outlineLvl w:val="0"/>
        <w:rPr>
          <w:sz w:val="24"/>
          <w:szCs w:val="24"/>
        </w:rPr>
      </w:pPr>
      <w:r w:rsidRPr="00C27F3D">
        <w:rPr>
          <w:sz w:val="24"/>
          <w:szCs w:val="24"/>
        </w:rPr>
        <w:t xml:space="preserve">Designed to Smile is the National Oral Health Programme for Wales.  This is a targeted oral health promotion programme which is focussed on </w:t>
      </w:r>
      <w:r w:rsidR="00EF74B6" w:rsidRPr="00C27F3D">
        <w:rPr>
          <w:sz w:val="24"/>
          <w:szCs w:val="24"/>
        </w:rPr>
        <w:t xml:space="preserve">preventing dental decay in </w:t>
      </w:r>
      <w:r w:rsidR="008C340E" w:rsidRPr="00C27F3D">
        <w:rPr>
          <w:sz w:val="24"/>
          <w:szCs w:val="24"/>
        </w:rPr>
        <w:t xml:space="preserve">children in pre-school and </w:t>
      </w:r>
      <w:r w:rsidRPr="00C27F3D">
        <w:rPr>
          <w:sz w:val="24"/>
          <w:szCs w:val="24"/>
        </w:rPr>
        <w:t>primary school</w:t>
      </w:r>
      <w:r w:rsidR="008C340E" w:rsidRPr="00C27F3D">
        <w:rPr>
          <w:sz w:val="24"/>
          <w:szCs w:val="24"/>
        </w:rPr>
        <w:t xml:space="preserve"> settings</w:t>
      </w:r>
      <w:r w:rsidRPr="00C27F3D">
        <w:rPr>
          <w:sz w:val="24"/>
          <w:szCs w:val="24"/>
        </w:rPr>
        <w:t xml:space="preserve">.  Work to roll the programme out across </w:t>
      </w:r>
      <w:r w:rsidR="00C27F3D">
        <w:rPr>
          <w:sz w:val="24"/>
          <w:szCs w:val="24"/>
        </w:rPr>
        <w:t xml:space="preserve">the whole of </w:t>
      </w:r>
      <w:r w:rsidRPr="00C27F3D">
        <w:rPr>
          <w:sz w:val="24"/>
          <w:szCs w:val="24"/>
        </w:rPr>
        <w:t xml:space="preserve">Wales commenced in </w:t>
      </w:r>
      <w:r w:rsidR="008C340E" w:rsidRPr="00C27F3D">
        <w:rPr>
          <w:sz w:val="24"/>
          <w:szCs w:val="24"/>
        </w:rPr>
        <w:t>2010</w:t>
      </w:r>
      <w:r w:rsidRPr="00C27F3D">
        <w:rPr>
          <w:sz w:val="24"/>
          <w:szCs w:val="24"/>
        </w:rPr>
        <w:t>.</w:t>
      </w:r>
      <w:r w:rsidR="001409CA" w:rsidRPr="00C27F3D">
        <w:rPr>
          <w:sz w:val="24"/>
          <w:szCs w:val="24"/>
        </w:rPr>
        <w:t xml:space="preserve"> Further information is available from</w:t>
      </w:r>
      <w:r w:rsidR="008C340E" w:rsidRPr="00C27F3D">
        <w:rPr>
          <w:sz w:val="24"/>
          <w:szCs w:val="24"/>
        </w:rPr>
        <w:t xml:space="preserve"> the </w:t>
      </w:r>
      <w:hyperlink r:id="rId21" w:history="1">
        <w:r w:rsidR="008C340E" w:rsidRPr="00C27F3D">
          <w:rPr>
            <w:rStyle w:val="Hyperlink"/>
            <w:color w:val="auto"/>
            <w:sz w:val="24"/>
            <w:szCs w:val="24"/>
          </w:rPr>
          <w:t>Welsh Oral Health Information Unit</w:t>
        </w:r>
      </w:hyperlink>
      <w:r w:rsidR="008C340E" w:rsidRPr="00C27F3D">
        <w:rPr>
          <w:sz w:val="24"/>
          <w:szCs w:val="24"/>
        </w:rPr>
        <w:t xml:space="preserve">. </w:t>
      </w:r>
    </w:p>
    <w:p w14:paraId="0BA2C1D4" w14:textId="77777777" w:rsidR="002F2A6E" w:rsidRPr="00EE1FB0" w:rsidRDefault="00EE1FB0" w:rsidP="00D81935">
      <w:pPr>
        <w:spacing w:after="240"/>
        <w:outlineLvl w:val="0"/>
        <w:rPr>
          <w:sz w:val="24"/>
          <w:szCs w:val="24"/>
        </w:rPr>
      </w:pPr>
      <w:r w:rsidRPr="00EE1FB0">
        <w:rPr>
          <w:sz w:val="24"/>
          <w:szCs w:val="24"/>
        </w:rPr>
        <w:t>Over the last 3 surveys</w:t>
      </w:r>
      <w:r w:rsidR="008C340E" w:rsidRPr="00EE1FB0">
        <w:rPr>
          <w:sz w:val="24"/>
          <w:szCs w:val="24"/>
        </w:rPr>
        <w:t xml:space="preserve"> </w:t>
      </w:r>
      <w:r w:rsidR="002F2A6E" w:rsidRPr="00EE1FB0">
        <w:rPr>
          <w:sz w:val="24"/>
          <w:szCs w:val="24"/>
        </w:rPr>
        <w:t xml:space="preserve">samples included </w:t>
      </w:r>
      <w:r w:rsidR="008C340E" w:rsidRPr="00EE1FB0">
        <w:rPr>
          <w:sz w:val="24"/>
          <w:szCs w:val="24"/>
        </w:rPr>
        <w:t xml:space="preserve">5 year old </w:t>
      </w:r>
      <w:r w:rsidR="002F2A6E" w:rsidRPr="00EE1FB0">
        <w:rPr>
          <w:sz w:val="24"/>
          <w:szCs w:val="24"/>
        </w:rPr>
        <w:t>children from schools in</w:t>
      </w:r>
      <w:r w:rsidR="00EF74B6" w:rsidRPr="00EE1FB0">
        <w:rPr>
          <w:sz w:val="24"/>
          <w:szCs w:val="24"/>
        </w:rPr>
        <w:t>volved in</w:t>
      </w:r>
      <w:r w:rsidR="002F2A6E" w:rsidRPr="00EE1FB0">
        <w:rPr>
          <w:sz w:val="24"/>
          <w:szCs w:val="24"/>
        </w:rPr>
        <w:t xml:space="preserve"> the initial </w:t>
      </w:r>
      <w:r w:rsidR="00EF74B6" w:rsidRPr="00EE1FB0">
        <w:rPr>
          <w:sz w:val="24"/>
          <w:szCs w:val="24"/>
        </w:rPr>
        <w:t xml:space="preserve">Designed to Smile </w:t>
      </w:r>
      <w:r w:rsidR="002F2A6E" w:rsidRPr="00EE1FB0">
        <w:rPr>
          <w:sz w:val="24"/>
          <w:szCs w:val="24"/>
        </w:rPr>
        <w:t xml:space="preserve">pilot and from schools that are now </w:t>
      </w:r>
      <w:r w:rsidR="00DB69A5" w:rsidRPr="00EE1FB0">
        <w:rPr>
          <w:sz w:val="24"/>
          <w:szCs w:val="24"/>
        </w:rPr>
        <w:t xml:space="preserve">being </w:t>
      </w:r>
      <w:r w:rsidR="002F2A6E" w:rsidRPr="00EE1FB0">
        <w:rPr>
          <w:sz w:val="24"/>
          <w:szCs w:val="24"/>
        </w:rPr>
        <w:t xml:space="preserve">included in </w:t>
      </w:r>
      <w:r w:rsidR="00EF74B6" w:rsidRPr="00EE1FB0">
        <w:rPr>
          <w:sz w:val="24"/>
          <w:szCs w:val="24"/>
        </w:rPr>
        <w:t xml:space="preserve">the </w:t>
      </w:r>
      <w:r w:rsidR="002F2A6E" w:rsidRPr="00EE1FB0">
        <w:rPr>
          <w:sz w:val="24"/>
          <w:szCs w:val="24"/>
        </w:rPr>
        <w:t>Designed to Smile programme</w:t>
      </w:r>
      <w:r w:rsidR="00EF74B6" w:rsidRPr="00EE1FB0">
        <w:rPr>
          <w:sz w:val="24"/>
          <w:szCs w:val="24"/>
        </w:rPr>
        <w:t xml:space="preserve"> </w:t>
      </w:r>
      <w:r w:rsidR="00DB69A5" w:rsidRPr="00EE1FB0">
        <w:rPr>
          <w:sz w:val="24"/>
          <w:szCs w:val="24"/>
        </w:rPr>
        <w:t>as it is rolled out</w:t>
      </w:r>
      <w:r w:rsidR="002F2A6E" w:rsidRPr="00EE1FB0">
        <w:rPr>
          <w:sz w:val="24"/>
          <w:szCs w:val="24"/>
        </w:rPr>
        <w:t xml:space="preserve">.  </w:t>
      </w:r>
      <w:r w:rsidR="008C340E" w:rsidRPr="00EE1FB0">
        <w:rPr>
          <w:sz w:val="24"/>
          <w:szCs w:val="24"/>
        </w:rPr>
        <w:t>It also surveyed children who are not taking part in Designed to Smile.</w:t>
      </w:r>
      <w:r>
        <w:rPr>
          <w:sz w:val="24"/>
          <w:szCs w:val="24"/>
        </w:rPr>
        <w:t xml:space="preserve">  These surveys were not specifically designed to evaluate Designed to Smile, however D2S should impact on these indicators because of the scale of the D2S programme.</w:t>
      </w:r>
    </w:p>
    <w:p w14:paraId="7DF29BB5" w14:textId="4DDC37DA" w:rsidR="00040ECD" w:rsidRPr="008047D7" w:rsidRDefault="00C40D09" w:rsidP="00040ECD">
      <w:pPr>
        <w:spacing w:before="240" w:after="120"/>
        <w:outlineLvl w:val="0"/>
        <w:rPr>
          <w:b/>
          <w:sz w:val="24"/>
          <w:szCs w:val="24"/>
        </w:rPr>
      </w:pPr>
      <w:bookmarkStart w:id="17" w:name="D2Sschools"/>
      <w:r w:rsidRPr="008047D7">
        <w:rPr>
          <w:b/>
          <w:sz w:val="24"/>
          <w:szCs w:val="24"/>
        </w:rPr>
        <w:t xml:space="preserve">Schools Involved in </w:t>
      </w:r>
      <w:r w:rsidR="00B37221">
        <w:rPr>
          <w:b/>
          <w:sz w:val="24"/>
          <w:szCs w:val="24"/>
        </w:rPr>
        <w:t xml:space="preserve">the </w:t>
      </w:r>
      <w:r w:rsidRPr="008047D7">
        <w:rPr>
          <w:b/>
          <w:sz w:val="24"/>
          <w:szCs w:val="24"/>
        </w:rPr>
        <w:t xml:space="preserve">Designed to Smile Programme </w:t>
      </w:r>
    </w:p>
    <w:bookmarkEnd w:id="17"/>
    <w:p w14:paraId="5F4C69B6" w14:textId="77777777" w:rsidR="00D81935" w:rsidRPr="00D81935" w:rsidRDefault="00D81935" w:rsidP="00B37221">
      <w:pPr>
        <w:spacing w:after="240"/>
        <w:outlineLvl w:val="0"/>
        <w:rPr>
          <w:sz w:val="24"/>
          <w:szCs w:val="24"/>
        </w:rPr>
      </w:pPr>
      <w:r>
        <w:rPr>
          <w:sz w:val="24"/>
          <w:szCs w:val="24"/>
        </w:rPr>
        <w:t>Tables 1 and 2 illustrate the proportion of schools and children which are now participating (or not) in Designed to Smile which were randomly sampled in the surveys between 2007/08 and 201</w:t>
      </w:r>
      <w:r w:rsidR="00D21130">
        <w:rPr>
          <w:sz w:val="24"/>
          <w:szCs w:val="24"/>
        </w:rPr>
        <w:t>5</w:t>
      </w:r>
      <w:r>
        <w:rPr>
          <w:sz w:val="24"/>
          <w:szCs w:val="24"/>
        </w:rPr>
        <w:t>/1</w:t>
      </w:r>
      <w:r w:rsidR="00D21130">
        <w:rPr>
          <w:sz w:val="24"/>
          <w:szCs w:val="24"/>
        </w:rPr>
        <w:t>6</w:t>
      </w:r>
      <w:r>
        <w:rPr>
          <w:sz w:val="24"/>
          <w:szCs w:val="24"/>
        </w:rPr>
        <w:t xml:space="preserve">. </w:t>
      </w:r>
    </w:p>
    <w:p w14:paraId="118047CF" w14:textId="77777777" w:rsidR="00EE1FB0" w:rsidRPr="00EB7F39" w:rsidRDefault="00B46A70" w:rsidP="00EB7F39">
      <w:pPr>
        <w:spacing w:after="60"/>
        <w:outlineLvl w:val="0"/>
        <w:rPr>
          <w:b/>
          <w:sz w:val="24"/>
          <w:szCs w:val="24"/>
        </w:rPr>
      </w:pPr>
      <w:r w:rsidRPr="00EB7F39">
        <w:rPr>
          <w:b/>
          <w:sz w:val="24"/>
          <w:szCs w:val="24"/>
        </w:rPr>
        <w:t>Table 1</w:t>
      </w:r>
      <w:r w:rsidR="00EE1FB0" w:rsidRPr="00EB7F39">
        <w:rPr>
          <w:b/>
          <w:sz w:val="24"/>
          <w:szCs w:val="24"/>
        </w:rPr>
        <w:t xml:space="preserve"> </w:t>
      </w:r>
      <w:r w:rsidRPr="00EB7F39">
        <w:rPr>
          <w:b/>
          <w:sz w:val="24"/>
          <w:szCs w:val="24"/>
        </w:rPr>
        <w:t xml:space="preserve">Number of schools </w:t>
      </w:r>
      <w:r w:rsidR="007674ED">
        <w:rPr>
          <w:b/>
          <w:sz w:val="24"/>
          <w:szCs w:val="24"/>
        </w:rPr>
        <w:t>surveyed</w:t>
      </w:r>
      <w:r w:rsidRPr="00EB7F39">
        <w:rPr>
          <w:b/>
          <w:sz w:val="24"/>
          <w:szCs w:val="24"/>
        </w:rPr>
        <w:t xml:space="preserve">, by </w:t>
      </w:r>
      <w:r w:rsidR="007674ED">
        <w:rPr>
          <w:b/>
          <w:sz w:val="24"/>
          <w:szCs w:val="24"/>
        </w:rPr>
        <w:t xml:space="preserve">participation in </w:t>
      </w:r>
      <w:r w:rsidRPr="00EB7F39">
        <w:rPr>
          <w:b/>
          <w:sz w:val="24"/>
          <w:szCs w:val="24"/>
        </w:rPr>
        <w:t>D2S</w:t>
      </w:r>
      <w:r w:rsidR="007674ED">
        <w:rPr>
          <w:b/>
          <w:sz w:val="24"/>
          <w:szCs w:val="24"/>
        </w:rPr>
        <w:t xml:space="preserve">, </w:t>
      </w:r>
      <w:r w:rsidR="007674ED" w:rsidRPr="007674ED">
        <w:rPr>
          <w:b/>
          <w:sz w:val="24"/>
          <w:szCs w:val="24"/>
        </w:rPr>
        <w:t>2007/08 – 201</w:t>
      </w:r>
      <w:r w:rsidR="00D21130">
        <w:rPr>
          <w:b/>
          <w:sz w:val="24"/>
          <w:szCs w:val="24"/>
        </w:rPr>
        <w:t>5</w:t>
      </w:r>
      <w:r w:rsidR="007674ED" w:rsidRPr="007674ED">
        <w:rPr>
          <w:b/>
          <w:sz w:val="24"/>
          <w:szCs w:val="24"/>
        </w:rPr>
        <w:t>/1</w:t>
      </w:r>
      <w:r w:rsidR="00D21130">
        <w:rPr>
          <w:b/>
          <w:sz w:val="24"/>
          <w:szCs w:val="24"/>
        </w:rPr>
        <w:t>6</w:t>
      </w:r>
    </w:p>
    <w:p w14:paraId="014F77C4" w14:textId="77777777" w:rsidR="00B46A70" w:rsidRDefault="00D21130" w:rsidP="00D81935">
      <w:pPr>
        <w:spacing w:after="240"/>
        <w:outlineLvl w:val="0"/>
        <w:rPr>
          <w:sz w:val="24"/>
          <w:szCs w:val="24"/>
        </w:rPr>
      </w:pPr>
      <w:r w:rsidRPr="00D21130">
        <w:rPr>
          <w:noProof/>
          <w:lang w:eastAsia="en-GB"/>
        </w:rPr>
        <w:drawing>
          <wp:inline distT="0" distB="0" distL="0" distR="0" wp14:anchorId="2D036F4C" wp14:editId="77D17BB1">
            <wp:extent cx="4123690" cy="1802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3690" cy="1802130"/>
                    </a:xfrm>
                    <a:prstGeom prst="rect">
                      <a:avLst/>
                    </a:prstGeom>
                    <a:noFill/>
                    <a:ln>
                      <a:noFill/>
                    </a:ln>
                  </pic:spPr>
                </pic:pic>
              </a:graphicData>
            </a:graphic>
          </wp:inline>
        </w:drawing>
      </w:r>
    </w:p>
    <w:p w14:paraId="60B24A15" w14:textId="77777777" w:rsidR="00B46A70" w:rsidRPr="00EB7F39" w:rsidRDefault="00B46A70" w:rsidP="00EB7F39">
      <w:pPr>
        <w:spacing w:after="60"/>
        <w:outlineLvl w:val="0"/>
        <w:rPr>
          <w:b/>
          <w:sz w:val="24"/>
          <w:szCs w:val="24"/>
        </w:rPr>
      </w:pPr>
      <w:r w:rsidRPr="00EB7F39">
        <w:rPr>
          <w:b/>
          <w:sz w:val="24"/>
          <w:szCs w:val="24"/>
        </w:rPr>
        <w:t xml:space="preserve">Table 2 Number of children examined, by survey year </w:t>
      </w:r>
      <w:r w:rsidR="007674ED">
        <w:rPr>
          <w:b/>
          <w:sz w:val="24"/>
          <w:szCs w:val="24"/>
        </w:rPr>
        <w:t>and participation in</w:t>
      </w:r>
      <w:r w:rsidRPr="00EB7F39">
        <w:rPr>
          <w:b/>
          <w:sz w:val="24"/>
          <w:szCs w:val="24"/>
        </w:rPr>
        <w:t xml:space="preserve"> D2S</w:t>
      </w:r>
    </w:p>
    <w:p w14:paraId="32D0E418" w14:textId="77777777" w:rsidR="00EE1FB0" w:rsidRDefault="00D21130" w:rsidP="006E1D90">
      <w:pPr>
        <w:spacing w:after="360"/>
        <w:outlineLvl w:val="0"/>
        <w:rPr>
          <w:color w:val="FF0000"/>
          <w:sz w:val="24"/>
          <w:szCs w:val="24"/>
        </w:rPr>
      </w:pPr>
      <w:r w:rsidRPr="00D21130">
        <w:rPr>
          <w:noProof/>
          <w:lang w:eastAsia="en-GB"/>
        </w:rPr>
        <w:drawing>
          <wp:inline distT="0" distB="0" distL="0" distR="0" wp14:anchorId="3A832146" wp14:editId="53A04A87">
            <wp:extent cx="4123690" cy="1793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3690" cy="1793240"/>
                    </a:xfrm>
                    <a:prstGeom prst="rect">
                      <a:avLst/>
                    </a:prstGeom>
                    <a:noFill/>
                    <a:ln>
                      <a:noFill/>
                    </a:ln>
                  </pic:spPr>
                </pic:pic>
              </a:graphicData>
            </a:graphic>
          </wp:inline>
        </w:drawing>
      </w:r>
    </w:p>
    <w:p w14:paraId="12CB3135" w14:textId="0C4315BC" w:rsidR="00A50BDE" w:rsidRPr="002C798C" w:rsidRDefault="007E48BF" w:rsidP="000C4530">
      <w:pPr>
        <w:spacing w:after="180"/>
        <w:rPr>
          <w:sz w:val="24"/>
          <w:szCs w:val="24"/>
        </w:rPr>
      </w:pPr>
      <w:r w:rsidRPr="002C798C">
        <w:rPr>
          <w:sz w:val="24"/>
          <w:szCs w:val="24"/>
        </w:rPr>
        <w:lastRenderedPageBreak/>
        <w:t>M</w:t>
      </w:r>
      <w:r w:rsidR="00D903A7" w:rsidRPr="002C798C">
        <w:rPr>
          <w:sz w:val="24"/>
          <w:szCs w:val="24"/>
        </w:rPr>
        <w:t>ean dmft in schools selected for inclusion in the Designed to Smile programme is greater than for the schools which have not been involved in the programme</w:t>
      </w:r>
      <w:r w:rsidR="00B37221">
        <w:rPr>
          <w:sz w:val="24"/>
          <w:szCs w:val="24"/>
        </w:rPr>
        <w:t xml:space="preserve"> (Figure 9</w:t>
      </w:r>
      <w:r w:rsidR="000A44E9">
        <w:rPr>
          <w:sz w:val="24"/>
          <w:szCs w:val="24"/>
        </w:rPr>
        <w:t>)</w:t>
      </w:r>
      <w:r w:rsidR="00D903A7" w:rsidRPr="002C798C">
        <w:rPr>
          <w:sz w:val="24"/>
          <w:szCs w:val="24"/>
        </w:rPr>
        <w:t xml:space="preserve">.  </w:t>
      </w:r>
      <w:r w:rsidR="006E1D90">
        <w:rPr>
          <w:sz w:val="24"/>
          <w:szCs w:val="24"/>
        </w:rPr>
        <w:t>Similarly, there is a larger proportion of children with decay experience (%dmft&gt;0) attending schools now participating in Designed to Smile (Figure 1</w:t>
      </w:r>
      <w:r w:rsidR="00B37221">
        <w:rPr>
          <w:sz w:val="24"/>
          <w:szCs w:val="24"/>
        </w:rPr>
        <w:t>0</w:t>
      </w:r>
      <w:r w:rsidR="006E1D90">
        <w:rPr>
          <w:sz w:val="24"/>
          <w:szCs w:val="24"/>
        </w:rPr>
        <w:t xml:space="preserve">).  </w:t>
      </w:r>
      <w:r w:rsidR="00D903A7" w:rsidRPr="002C798C">
        <w:rPr>
          <w:sz w:val="24"/>
          <w:szCs w:val="24"/>
        </w:rPr>
        <w:t>This confirms that the programme is being targeted at schools with greater disease experience.</w:t>
      </w:r>
    </w:p>
    <w:p w14:paraId="182B727B" w14:textId="019C1D45" w:rsidR="000B523E" w:rsidRPr="000A44E9" w:rsidRDefault="008C340E" w:rsidP="000C4530">
      <w:pPr>
        <w:spacing w:after="240"/>
        <w:rPr>
          <w:sz w:val="24"/>
          <w:szCs w:val="24"/>
        </w:rPr>
      </w:pPr>
      <w:r w:rsidRPr="002C798C">
        <w:rPr>
          <w:sz w:val="24"/>
          <w:szCs w:val="24"/>
        </w:rPr>
        <w:t>Since 2008, m</w:t>
      </w:r>
      <w:r w:rsidR="00A50BDE" w:rsidRPr="002C798C">
        <w:rPr>
          <w:sz w:val="24"/>
          <w:szCs w:val="24"/>
        </w:rPr>
        <w:t xml:space="preserve">ean dmft has reduced in all schools.  </w:t>
      </w:r>
      <w:r w:rsidR="00A50BDE" w:rsidRPr="000A44E9">
        <w:rPr>
          <w:sz w:val="24"/>
          <w:szCs w:val="24"/>
        </w:rPr>
        <w:t>The reduction in mean dmft is slightly great</w:t>
      </w:r>
      <w:r w:rsidR="000A44E9">
        <w:rPr>
          <w:sz w:val="24"/>
          <w:szCs w:val="24"/>
        </w:rPr>
        <w:t>er in Designed to Smile Schools</w:t>
      </w:r>
      <w:r w:rsidR="00B37221">
        <w:rPr>
          <w:sz w:val="24"/>
          <w:szCs w:val="24"/>
        </w:rPr>
        <w:t xml:space="preserve"> (Figure 9)</w:t>
      </w:r>
      <w:r w:rsidR="000A44E9">
        <w:rPr>
          <w:sz w:val="24"/>
          <w:szCs w:val="24"/>
        </w:rPr>
        <w:t>.</w:t>
      </w:r>
      <w:r w:rsidR="006E1D90">
        <w:rPr>
          <w:sz w:val="24"/>
          <w:szCs w:val="24"/>
        </w:rPr>
        <w:t xml:space="preserve"> A similar improvement pattern is seen in the proportion of children with experience of decay (%dmft&gt;0, Figure 1</w:t>
      </w:r>
      <w:r w:rsidR="00B37221">
        <w:rPr>
          <w:sz w:val="24"/>
          <w:szCs w:val="24"/>
        </w:rPr>
        <w:t>0</w:t>
      </w:r>
      <w:r w:rsidR="006E1D90">
        <w:rPr>
          <w:sz w:val="24"/>
          <w:szCs w:val="24"/>
        </w:rPr>
        <w:t>).</w:t>
      </w:r>
    </w:p>
    <w:p w14:paraId="55D3A350" w14:textId="2C789917" w:rsidR="000B523E" w:rsidRPr="00AD68F2" w:rsidRDefault="000B523E" w:rsidP="00AD68F2">
      <w:pPr>
        <w:spacing w:after="60" w:line="240" w:lineRule="auto"/>
        <w:rPr>
          <w:sz w:val="24"/>
          <w:szCs w:val="24"/>
        </w:rPr>
      </w:pPr>
      <w:r w:rsidRPr="0094220C">
        <w:rPr>
          <w:sz w:val="28"/>
          <w:szCs w:val="28"/>
        </w:rPr>
        <w:t xml:space="preserve">Figure </w:t>
      </w:r>
      <w:r w:rsidR="00246752">
        <w:rPr>
          <w:sz w:val="28"/>
          <w:szCs w:val="28"/>
        </w:rPr>
        <w:t>9</w:t>
      </w:r>
      <w:r w:rsidRPr="0094220C">
        <w:rPr>
          <w:sz w:val="28"/>
          <w:szCs w:val="28"/>
        </w:rPr>
        <w:t xml:space="preserve"> Mean dmft </w:t>
      </w:r>
      <w:r w:rsidR="0094220C">
        <w:rPr>
          <w:sz w:val="28"/>
          <w:szCs w:val="28"/>
        </w:rPr>
        <w:t>for children attending primary schools</w:t>
      </w:r>
      <w:r w:rsidR="008C751D">
        <w:rPr>
          <w:sz w:val="28"/>
          <w:szCs w:val="28"/>
        </w:rPr>
        <w:t>,</w:t>
      </w:r>
      <w:r w:rsidR="0094220C">
        <w:rPr>
          <w:sz w:val="28"/>
          <w:szCs w:val="28"/>
        </w:rPr>
        <w:t xml:space="preserve"> </w:t>
      </w:r>
      <w:r w:rsidR="000A44E9">
        <w:rPr>
          <w:sz w:val="28"/>
          <w:szCs w:val="28"/>
        </w:rPr>
        <w:t>by participation</w:t>
      </w:r>
      <w:r w:rsidR="0094220C">
        <w:rPr>
          <w:sz w:val="28"/>
          <w:szCs w:val="28"/>
        </w:rPr>
        <w:t xml:space="preserve"> in</w:t>
      </w:r>
      <w:r w:rsidRPr="0094220C">
        <w:rPr>
          <w:sz w:val="28"/>
          <w:szCs w:val="28"/>
        </w:rPr>
        <w:t xml:space="preserve"> </w:t>
      </w:r>
      <w:r w:rsidR="0094220C">
        <w:rPr>
          <w:sz w:val="28"/>
          <w:szCs w:val="28"/>
        </w:rPr>
        <w:t>D</w:t>
      </w:r>
      <w:r w:rsidR="000A44E9">
        <w:rPr>
          <w:sz w:val="28"/>
          <w:szCs w:val="28"/>
        </w:rPr>
        <w:t xml:space="preserve">esigned to Smile, </w:t>
      </w:r>
      <w:r w:rsidR="00D21130">
        <w:rPr>
          <w:sz w:val="28"/>
          <w:szCs w:val="28"/>
        </w:rPr>
        <w:t>2007/08 – 2015/16</w:t>
      </w:r>
    </w:p>
    <w:p w14:paraId="332D0A9B" w14:textId="77777777" w:rsidR="00133988" w:rsidRPr="00236A44" w:rsidRDefault="00D21130" w:rsidP="00D81935">
      <w:pPr>
        <w:spacing w:after="300"/>
        <w:rPr>
          <w:color w:val="FF0000"/>
          <w:sz w:val="28"/>
          <w:szCs w:val="28"/>
        </w:rPr>
      </w:pPr>
      <w:r>
        <w:rPr>
          <w:noProof/>
          <w:color w:val="FF0000"/>
          <w:sz w:val="28"/>
          <w:szCs w:val="28"/>
          <w:lang w:eastAsia="en-GB"/>
        </w:rPr>
        <w:drawing>
          <wp:inline distT="0" distB="0" distL="0" distR="0" wp14:anchorId="4757FD8D" wp14:editId="3A3DC40D">
            <wp:extent cx="4093200" cy="270000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3200" cy="2700000"/>
                    </a:xfrm>
                    <a:prstGeom prst="rect">
                      <a:avLst/>
                    </a:prstGeom>
                    <a:noFill/>
                  </pic:spPr>
                </pic:pic>
              </a:graphicData>
            </a:graphic>
          </wp:inline>
        </w:drawing>
      </w:r>
    </w:p>
    <w:p w14:paraId="3D6F950D" w14:textId="2995DDE6" w:rsidR="00D81935" w:rsidRPr="00AD68F2" w:rsidRDefault="00057176" w:rsidP="00D81935">
      <w:pPr>
        <w:spacing w:after="60" w:line="240" w:lineRule="auto"/>
        <w:rPr>
          <w:sz w:val="24"/>
          <w:szCs w:val="24"/>
        </w:rPr>
      </w:pPr>
      <w:r w:rsidRPr="0094220C">
        <w:rPr>
          <w:sz w:val="28"/>
          <w:szCs w:val="28"/>
        </w:rPr>
        <w:t>Figure 1</w:t>
      </w:r>
      <w:r w:rsidR="00246752">
        <w:rPr>
          <w:sz w:val="28"/>
          <w:szCs w:val="28"/>
        </w:rPr>
        <w:t>0</w:t>
      </w:r>
      <w:r w:rsidRPr="0094220C">
        <w:rPr>
          <w:sz w:val="28"/>
          <w:szCs w:val="28"/>
        </w:rPr>
        <w:t xml:space="preserve"> </w:t>
      </w:r>
      <w:r>
        <w:rPr>
          <w:sz w:val="28"/>
          <w:szCs w:val="28"/>
        </w:rPr>
        <w:t>%</w:t>
      </w:r>
      <w:r w:rsidR="002C798C">
        <w:rPr>
          <w:sz w:val="28"/>
          <w:szCs w:val="28"/>
        </w:rPr>
        <w:t xml:space="preserve"> </w:t>
      </w:r>
      <w:r w:rsidRPr="0094220C">
        <w:rPr>
          <w:sz w:val="28"/>
          <w:szCs w:val="28"/>
        </w:rPr>
        <w:t>dmft</w:t>
      </w:r>
      <w:r>
        <w:rPr>
          <w:sz w:val="28"/>
          <w:szCs w:val="28"/>
        </w:rPr>
        <w:t>&gt;0</w:t>
      </w:r>
      <w:r w:rsidRPr="0094220C">
        <w:rPr>
          <w:sz w:val="28"/>
          <w:szCs w:val="28"/>
        </w:rPr>
        <w:t xml:space="preserve"> </w:t>
      </w:r>
      <w:r w:rsidR="00D81935">
        <w:rPr>
          <w:sz w:val="28"/>
          <w:szCs w:val="28"/>
        </w:rPr>
        <w:t>for children attending primary schools</w:t>
      </w:r>
      <w:r w:rsidR="008C751D">
        <w:rPr>
          <w:sz w:val="28"/>
          <w:szCs w:val="28"/>
        </w:rPr>
        <w:t>,</w:t>
      </w:r>
      <w:r w:rsidR="00D81935">
        <w:rPr>
          <w:sz w:val="28"/>
          <w:szCs w:val="28"/>
        </w:rPr>
        <w:t xml:space="preserve"> by participation in</w:t>
      </w:r>
      <w:r w:rsidR="00D81935" w:rsidRPr="0094220C">
        <w:rPr>
          <w:sz w:val="28"/>
          <w:szCs w:val="28"/>
        </w:rPr>
        <w:t xml:space="preserve"> </w:t>
      </w:r>
      <w:r w:rsidR="00D81935">
        <w:rPr>
          <w:sz w:val="28"/>
          <w:szCs w:val="28"/>
        </w:rPr>
        <w:t xml:space="preserve">Designed to Smile, </w:t>
      </w:r>
      <w:r w:rsidR="00D81935" w:rsidRPr="000A44E9">
        <w:rPr>
          <w:sz w:val="28"/>
          <w:szCs w:val="28"/>
        </w:rPr>
        <w:t>2007/08 – 201</w:t>
      </w:r>
      <w:r w:rsidR="00D21130">
        <w:rPr>
          <w:sz w:val="28"/>
          <w:szCs w:val="28"/>
        </w:rPr>
        <w:t>5</w:t>
      </w:r>
      <w:r w:rsidR="00D81935" w:rsidRPr="000A44E9">
        <w:rPr>
          <w:sz w:val="28"/>
          <w:szCs w:val="28"/>
        </w:rPr>
        <w:t>/1</w:t>
      </w:r>
      <w:r w:rsidR="00D21130">
        <w:rPr>
          <w:sz w:val="28"/>
          <w:szCs w:val="28"/>
        </w:rPr>
        <w:t>6</w:t>
      </w:r>
    </w:p>
    <w:p w14:paraId="7CB5F7F9" w14:textId="77777777" w:rsidR="0032661A" w:rsidRDefault="00253856" w:rsidP="00D81935">
      <w:pPr>
        <w:spacing w:after="120" w:line="240" w:lineRule="auto"/>
        <w:rPr>
          <w:color w:val="FF0000"/>
          <w:sz w:val="28"/>
          <w:szCs w:val="28"/>
        </w:rPr>
      </w:pPr>
      <w:r>
        <w:rPr>
          <w:noProof/>
          <w:color w:val="FF0000"/>
          <w:sz w:val="28"/>
          <w:szCs w:val="28"/>
          <w:lang w:eastAsia="en-GB"/>
        </w:rPr>
        <w:drawing>
          <wp:inline distT="0" distB="0" distL="0" distR="0" wp14:anchorId="3E430E97" wp14:editId="0647BC48">
            <wp:extent cx="5713692" cy="2743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4389" cy="2748336"/>
                    </a:xfrm>
                    <a:prstGeom prst="rect">
                      <a:avLst/>
                    </a:prstGeom>
                    <a:noFill/>
                  </pic:spPr>
                </pic:pic>
              </a:graphicData>
            </a:graphic>
          </wp:inline>
        </w:drawing>
      </w:r>
    </w:p>
    <w:p w14:paraId="250E6B64" w14:textId="090EC824" w:rsidR="00786415" w:rsidRPr="00236A44" w:rsidRDefault="00786415">
      <w:pPr>
        <w:rPr>
          <w:color w:val="FF0000"/>
        </w:rPr>
      </w:pPr>
      <w:r w:rsidRPr="00236A44">
        <w:rPr>
          <w:color w:val="FF0000"/>
        </w:rPr>
        <w:br w:type="page"/>
      </w:r>
    </w:p>
    <w:p w14:paraId="353A9147" w14:textId="77777777" w:rsidR="00786415" w:rsidRPr="00C40D09" w:rsidRDefault="00786415">
      <w:pPr>
        <w:rPr>
          <w:b/>
          <w:sz w:val="28"/>
          <w:szCs w:val="28"/>
        </w:rPr>
      </w:pPr>
      <w:bookmarkStart w:id="18" w:name="APPENDIX1"/>
      <w:r w:rsidRPr="00C40D09">
        <w:rPr>
          <w:b/>
          <w:sz w:val="28"/>
          <w:szCs w:val="28"/>
        </w:rPr>
        <w:lastRenderedPageBreak/>
        <w:t xml:space="preserve">Appendix 1 – </w:t>
      </w:r>
      <w:r w:rsidR="00E315F3">
        <w:rPr>
          <w:b/>
          <w:sz w:val="28"/>
          <w:szCs w:val="28"/>
        </w:rPr>
        <w:t>%dmft&gt;0</w:t>
      </w:r>
      <w:r w:rsidRPr="00C40D09">
        <w:rPr>
          <w:b/>
          <w:sz w:val="28"/>
          <w:szCs w:val="28"/>
        </w:rPr>
        <w:t xml:space="preserve"> by U</w:t>
      </w:r>
      <w:r w:rsidR="000111C0" w:rsidRPr="00C40D09">
        <w:rPr>
          <w:b/>
          <w:sz w:val="28"/>
          <w:szCs w:val="28"/>
        </w:rPr>
        <w:t>n</w:t>
      </w:r>
      <w:r w:rsidR="00E315F3">
        <w:rPr>
          <w:b/>
          <w:sz w:val="28"/>
          <w:szCs w:val="28"/>
        </w:rPr>
        <w:t>itary Authority, 2007/08 to 2015</w:t>
      </w:r>
      <w:r w:rsidR="000111C0" w:rsidRPr="00C40D09">
        <w:rPr>
          <w:b/>
          <w:sz w:val="28"/>
          <w:szCs w:val="28"/>
        </w:rPr>
        <w:t>/1</w:t>
      </w:r>
      <w:r w:rsidR="00E315F3">
        <w:rPr>
          <w:b/>
          <w:sz w:val="28"/>
          <w:szCs w:val="28"/>
        </w:rPr>
        <w:t>6</w:t>
      </w:r>
    </w:p>
    <w:bookmarkEnd w:id="18"/>
    <w:p w14:paraId="22E4223E" w14:textId="77777777" w:rsidR="004D65DB" w:rsidRPr="00236A44" w:rsidRDefault="004D65DB">
      <w:pPr>
        <w:rPr>
          <w:color w:val="FF0000"/>
          <w:sz w:val="28"/>
          <w:szCs w:val="28"/>
        </w:rPr>
      </w:pPr>
      <w:r w:rsidRPr="00B46A70">
        <w:rPr>
          <w:sz w:val="28"/>
          <w:szCs w:val="28"/>
        </w:rPr>
        <w:t xml:space="preserve">Figure </w:t>
      </w:r>
      <w:r w:rsidR="000111C0">
        <w:rPr>
          <w:sz w:val="28"/>
          <w:szCs w:val="28"/>
        </w:rPr>
        <w:t>1</w:t>
      </w:r>
      <w:r w:rsidR="00246752">
        <w:rPr>
          <w:sz w:val="28"/>
          <w:szCs w:val="28"/>
        </w:rPr>
        <w:t>1</w:t>
      </w:r>
      <w:r w:rsidRPr="00B46A70">
        <w:rPr>
          <w:sz w:val="28"/>
          <w:szCs w:val="28"/>
        </w:rPr>
        <w:t xml:space="preserve"> </w:t>
      </w:r>
      <w:r w:rsidR="00E315F3">
        <w:rPr>
          <w:sz w:val="28"/>
          <w:szCs w:val="28"/>
        </w:rPr>
        <w:t>ABMU</w:t>
      </w:r>
      <w:r w:rsidR="000111C0">
        <w:rPr>
          <w:sz w:val="28"/>
          <w:szCs w:val="28"/>
        </w:rPr>
        <w:t xml:space="preserve"> </w:t>
      </w:r>
      <w:r w:rsidR="000111C0" w:rsidRPr="00B46A70">
        <w:rPr>
          <w:sz w:val="28"/>
          <w:szCs w:val="28"/>
        </w:rPr>
        <w:t xml:space="preserve">– </w:t>
      </w:r>
      <w:r w:rsidR="00E315F3">
        <w:rPr>
          <w:sz w:val="28"/>
          <w:szCs w:val="28"/>
        </w:rPr>
        <w:t>%</w:t>
      </w:r>
      <w:r w:rsidR="000111C0" w:rsidRPr="00B46A70">
        <w:rPr>
          <w:sz w:val="28"/>
          <w:szCs w:val="28"/>
        </w:rPr>
        <w:t>dmft</w:t>
      </w:r>
      <w:r w:rsidR="00E315F3">
        <w:rPr>
          <w:sz w:val="28"/>
          <w:szCs w:val="28"/>
        </w:rPr>
        <w:t>&gt;0</w:t>
      </w:r>
      <w:r w:rsidR="000111C0" w:rsidRPr="00B46A70">
        <w:rPr>
          <w:sz w:val="28"/>
          <w:szCs w:val="28"/>
        </w:rPr>
        <w:t xml:space="preserve"> by U</w:t>
      </w:r>
      <w:r w:rsidR="000111C0">
        <w:rPr>
          <w:sz w:val="28"/>
          <w:szCs w:val="28"/>
        </w:rPr>
        <w:t xml:space="preserve">nitary </w:t>
      </w:r>
      <w:r w:rsidR="00E315F3">
        <w:rPr>
          <w:sz w:val="28"/>
          <w:szCs w:val="28"/>
        </w:rPr>
        <w:t>Authority, 2007/08 to 2015/16</w:t>
      </w:r>
    </w:p>
    <w:p w14:paraId="25026903" w14:textId="77777777" w:rsidR="00786415" w:rsidRPr="00236A44" w:rsidRDefault="00E315F3">
      <w:pPr>
        <w:rPr>
          <w:color w:val="FF0000"/>
        </w:rPr>
      </w:pPr>
      <w:r>
        <w:rPr>
          <w:noProof/>
          <w:color w:val="FF0000"/>
          <w:lang w:eastAsia="en-GB"/>
        </w:rPr>
        <w:drawing>
          <wp:inline distT="0" distB="0" distL="0" distR="0" wp14:anchorId="0EA4AB0D" wp14:editId="5E42BEE7">
            <wp:extent cx="6109200" cy="3240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09200" cy="3240000"/>
                    </a:xfrm>
                    <a:prstGeom prst="rect">
                      <a:avLst/>
                    </a:prstGeom>
                    <a:noFill/>
                  </pic:spPr>
                </pic:pic>
              </a:graphicData>
            </a:graphic>
          </wp:inline>
        </w:drawing>
      </w:r>
    </w:p>
    <w:p w14:paraId="68834C50" w14:textId="77777777" w:rsidR="004D65DB" w:rsidRDefault="004D65DB">
      <w:pPr>
        <w:rPr>
          <w:color w:val="FF0000"/>
        </w:rPr>
      </w:pPr>
    </w:p>
    <w:p w14:paraId="10138A0F" w14:textId="77777777" w:rsidR="00E315F3" w:rsidRPr="00236A44" w:rsidRDefault="00E315F3" w:rsidP="00E315F3">
      <w:pPr>
        <w:rPr>
          <w:color w:val="FF0000"/>
          <w:sz w:val="28"/>
          <w:szCs w:val="28"/>
        </w:rPr>
      </w:pPr>
      <w:r w:rsidRPr="00B46A70">
        <w:rPr>
          <w:sz w:val="28"/>
          <w:szCs w:val="28"/>
        </w:rPr>
        <w:t xml:space="preserve">Figure </w:t>
      </w:r>
      <w:r w:rsidR="00246752">
        <w:rPr>
          <w:sz w:val="28"/>
          <w:szCs w:val="28"/>
        </w:rPr>
        <w:t>12</w:t>
      </w:r>
      <w:r w:rsidRPr="00B46A70">
        <w:rPr>
          <w:sz w:val="28"/>
          <w:szCs w:val="28"/>
        </w:rPr>
        <w:t xml:space="preserve"> </w:t>
      </w:r>
      <w:r>
        <w:rPr>
          <w:sz w:val="28"/>
          <w:szCs w:val="28"/>
        </w:rPr>
        <w:t xml:space="preserve">Aneurin Bevan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58A411A0" w14:textId="77777777" w:rsidR="009C4B2E" w:rsidRDefault="0026200D">
      <w:pPr>
        <w:rPr>
          <w:color w:val="FF0000"/>
        </w:rPr>
      </w:pPr>
      <w:r>
        <w:rPr>
          <w:noProof/>
          <w:color w:val="FF0000"/>
          <w:lang w:eastAsia="en-GB"/>
        </w:rPr>
        <w:drawing>
          <wp:inline distT="0" distB="0" distL="0" distR="0" wp14:anchorId="41A29210" wp14:editId="14CA4A1B">
            <wp:extent cx="6066000" cy="32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6000" cy="3240000"/>
                    </a:xfrm>
                    <a:prstGeom prst="rect">
                      <a:avLst/>
                    </a:prstGeom>
                    <a:noFill/>
                  </pic:spPr>
                </pic:pic>
              </a:graphicData>
            </a:graphic>
          </wp:inline>
        </w:drawing>
      </w:r>
    </w:p>
    <w:p w14:paraId="29451F76" w14:textId="77777777" w:rsidR="0026200D" w:rsidRDefault="0026200D" w:rsidP="0026200D">
      <w:pPr>
        <w:rPr>
          <w:sz w:val="28"/>
          <w:szCs w:val="28"/>
        </w:rPr>
      </w:pPr>
    </w:p>
    <w:p w14:paraId="5BD4C0C4" w14:textId="77777777" w:rsidR="0026200D" w:rsidRDefault="0026200D" w:rsidP="0026200D">
      <w:pPr>
        <w:rPr>
          <w:sz w:val="28"/>
          <w:szCs w:val="28"/>
        </w:rPr>
      </w:pPr>
    </w:p>
    <w:p w14:paraId="0BF40350" w14:textId="77777777" w:rsidR="0026200D" w:rsidRDefault="0026200D" w:rsidP="00E253AE">
      <w:pPr>
        <w:ind w:right="-330"/>
        <w:rPr>
          <w:sz w:val="28"/>
          <w:szCs w:val="28"/>
        </w:rPr>
      </w:pPr>
      <w:r w:rsidRPr="00B46A70">
        <w:rPr>
          <w:sz w:val="28"/>
          <w:szCs w:val="28"/>
        </w:rPr>
        <w:lastRenderedPageBreak/>
        <w:t xml:space="preserve">Figure </w:t>
      </w:r>
      <w:r>
        <w:rPr>
          <w:sz w:val="28"/>
          <w:szCs w:val="28"/>
        </w:rPr>
        <w:t>1</w:t>
      </w:r>
      <w:r w:rsidR="00246752">
        <w:rPr>
          <w:sz w:val="28"/>
          <w:szCs w:val="28"/>
        </w:rPr>
        <w:t>3</w:t>
      </w:r>
      <w:r w:rsidRPr="00B46A70">
        <w:rPr>
          <w:sz w:val="28"/>
          <w:szCs w:val="28"/>
        </w:rPr>
        <w:t xml:space="preserve"> </w:t>
      </w:r>
      <w:r>
        <w:rPr>
          <w:sz w:val="28"/>
          <w:szCs w:val="28"/>
        </w:rPr>
        <w:t xml:space="preserve">Betsi Cadwaladr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2B2FBAF4" w14:textId="77777777" w:rsidR="00F42D25" w:rsidRDefault="00F42D25" w:rsidP="0026200D">
      <w:pPr>
        <w:rPr>
          <w:sz w:val="28"/>
          <w:szCs w:val="28"/>
        </w:rPr>
      </w:pPr>
      <w:r>
        <w:rPr>
          <w:noProof/>
          <w:color w:val="FF0000"/>
          <w:lang w:eastAsia="en-GB"/>
        </w:rPr>
        <w:drawing>
          <wp:anchor distT="0" distB="0" distL="114300" distR="114300" simplePos="0" relativeHeight="251658240" behindDoc="0" locked="0" layoutInCell="1" allowOverlap="1" wp14:anchorId="2F899C91" wp14:editId="4D482757">
            <wp:simplePos x="0" y="0"/>
            <wp:positionH relativeFrom="column">
              <wp:posOffset>-340472</wp:posOffset>
            </wp:positionH>
            <wp:positionV relativeFrom="paragraph">
              <wp:posOffset>11766</wp:posOffset>
            </wp:positionV>
            <wp:extent cx="6688800" cy="28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88800" cy="2880000"/>
                    </a:xfrm>
                    <a:prstGeom prst="rect">
                      <a:avLst/>
                    </a:prstGeom>
                    <a:noFill/>
                  </pic:spPr>
                </pic:pic>
              </a:graphicData>
            </a:graphic>
            <wp14:sizeRelH relativeFrom="page">
              <wp14:pctWidth>0</wp14:pctWidth>
            </wp14:sizeRelH>
            <wp14:sizeRelV relativeFrom="page">
              <wp14:pctHeight>0</wp14:pctHeight>
            </wp14:sizeRelV>
          </wp:anchor>
        </w:drawing>
      </w:r>
    </w:p>
    <w:p w14:paraId="6123E088" w14:textId="77777777" w:rsidR="00F42D25" w:rsidRDefault="00F42D25" w:rsidP="0026200D">
      <w:pPr>
        <w:rPr>
          <w:sz w:val="28"/>
          <w:szCs w:val="28"/>
        </w:rPr>
      </w:pPr>
    </w:p>
    <w:p w14:paraId="38699C98" w14:textId="77777777" w:rsidR="00F42D25" w:rsidRDefault="00F42D25" w:rsidP="0026200D">
      <w:pPr>
        <w:rPr>
          <w:sz w:val="28"/>
          <w:szCs w:val="28"/>
        </w:rPr>
      </w:pPr>
    </w:p>
    <w:p w14:paraId="46A94F3B" w14:textId="77777777" w:rsidR="00F42D25" w:rsidRDefault="00F42D25" w:rsidP="0026200D">
      <w:pPr>
        <w:rPr>
          <w:sz w:val="28"/>
          <w:szCs w:val="28"/>
        </w:rPr>
      </w:pPr>
    </w:p>
    <w:p w14:paraId="6851665E" w14:textId="77777777" w:rsidR="00F42D25" w:rsidRDefault="00F42D25" w:rsidP="0026200D">
      <w:pPr>
        <w:rPr>
          <w:sz w:val="28"/>
          <w:szCs w:val="28"/>
        </w:rPr>
      </w:pPr>
    </w:p>
    <w:p w14:paraId="15D11F7C" w14:textId="77777777" w:rsidR="00F42D25" w:rsidRDefault="00F42D25" w:rsidP="0026200D">
      <w:pPr>
        <w:rPr>
          <w:sz w:val="28"/>
          <w:szCs w:val="28"/>
        </w:rPr>
      </w:pPr>
    </w:p>
    <w:p w14:paraId="12B18AC7" w14:textId="77777777" w:rsidR="00F42D25" w:rsidRDefault="00F42D25" w:rsidP="0026200D">
      <w:pPr>
        <w:rPr>
          <w:sz w:val="28"/>
          <w:szCs w:val="28"/>
        </w:rPr>
      </w:pPr>
    </w:p>
    <w:p w14:paraId="4025A6A5" w14:textId="77777777" w:rsidR="00F42D25" w:rsidRDefault="00F42D25" w:rsidP="0026200D">
      <w:pPr>
        <w:rPr>
          <w:sz w:val="28"/>
          <w:szCs w:val="28"/>
        </w:rPr>
      </w:pPr>
    </w:p>
    <w:p w14:paraId="7F76E42D" w14:textId="77777777" w:rsidR="00F42D25" w:rsidRDefault="00F42D25" w:rsidP="0026200D">
      <w:pPr>
        <w:rPr>
          <w:sz w:val="28"/>
          <w:szCs w:val="28"/>
        </w:rPr>
      </w:pPr>
    </w:p>
    <w:p w14:paraId="0F1C8331" w14:textId="77777777" w:rsidR="00F42D25" w:rsidRPr="00236A44" w:rsidRDefault="00F42D25" w:rsidP="00267D6D">
      <w:pPr>
        <w:ind w:right="-330"/>
        <w:rPr>
          <w:color w:val="FF0000"/>
          <w:sz w:val="28"/>
          <w:szCs w:val="28"/>
        </w:rPr>
      </w:pPr>
      <w:r w:rsidRPr="00B46A70">
        <w:rPr>
          <w:sz w:val="28"/>
          <w:szCs w:val="28"/>
        </w:rPr>
        <w:t xml:space="preserve">Figure </w:t>
      </w:r>
      <w:r w:rsidR="00246752">
        <w:rPr>
          <w:sz w:val="28"/>
          <w:szCs w:val="28"/>
        </w:rPr>
        <w:t>14</w:t>
      </w:r>
      <w:r w:rsidRPr="00B46A70">
        <w:rPr>
          <w:sz w:val="28"/>
          <w:szCs w:val="28"/>
        </w:rPr>
        <w:t xml:space="preserve"> </w:t>
      </w:r>
      <w:r>
        <w:rPr>
          <w:sz w:val="28"/>
          <w:szCs w:val="28"/>
        </w:rPr>
        <w:t xml:space="preserve">Cardiff and Vale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53E1B78E" w14:textId="77777777" w:rsidR="00F42D25" w:rsidRDefault="00267D6D" w:rsidP="0026200D">
      <w:pPr>
        <w:rPr>
          <w:sz w:val="28"/>
          <w:szCs w:val="28"/>
        </w:rPr>
      </w:pPr>
      <w:r>
        <w:rPr>
          <w:noProof/>
          <w:sz w:val="28"/>
          <w:szCs w:val="28"/>
          <w:lang w:eastAsia="en-GB"/>
        </w:rPr>
        <w:drawing>
          <wp:inline distT="0" distB="0" distL="0" distR="0" wp14:anchorId="641A0514" wp14:editId="5541AD40">
            <wp:extent cx="5868000" cy="32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8000" cy="3240000"/>
                    </a:xfrm>
                    <a:prstGeom prst="rect">
                      <a:avLst/>
                    </a:prstGeom>
                    <a:noFill/>
                  </pic:spPr>
                </pic:pic>
              </a:graphicData>
            </a:graphic>
          </wp:inline>
        </w:drawing>
      </w:r>
    </w:p>
    <w:p w14:paraId="154BAABD" w14:textId="77777777" w:rsidR="00267D6D" w:rsidRDefault="00267D6D" w:rsidP="00F42D25">
      <w:pPr>
        <w:rPr>
          <w:sz w:val="28"/>
          <w:szCs w:val="28"/>
        </w:rPr>
      </w:pPr>
    </w:p>
    <w:p w14:paraId="12E1DA92" w14:textId="77777777" w:rsidR="00267D6D" w:rsidRDefault="00267D6D" w:rsidP="00F42D25">
      <w:pPr>
        <w:rPr>
          <w:sz w:val="28"/>
          <w:szCs w:val="28"/>
        </w:rPr>
      </w:pPr>
    </w:p>
    <w:p w14:paraId="7D8AD892" w14:textId="77777777" w:rsidR="00267D6D" w:rsidRDefault="00267D6D" w:rsidP="00F42D25">
      <w:pPr>
        <w:rPr>
          <w:sz w:val="28"/>
          <w:szCs w:val="28"/>
        </w:rPr>
      </w:pPr>
    </w:p>
    <w:p w14:paraId="52A34875" w14:textId="77777777" w:rsidR="00F42D25" w:rsidRDefault="00F42D25" w:rsidP="00F42D25">
      <w:pPr>
        <w:rPr>
          <w:sz w:val="28"/>
          <w:szCs w:val="28"/>
        </w:rPr>
      </w:pPr>
      <w:r w:rsidRPr="00B46A70">
        <w:rPr>
          <w:sz w:val="28"/>
          <w:szCs w:val="28"/>
        </w:rPr>
        <w:lastRenderedPageBreak/>
        <w:t xml:space="preserve">Figure </w:t>
      </w:r>
      <w:r>
        <w:rPr>
          <w:sz w:val="28"/>
          <w:szCs w:val="28"/>
        </w:rPr>
        <w:t>1</w:t>
      </w:r>
      <w:r w:rsidR="00246752">
        <w:rPr>
          <w:sz w:val="28"/>
          <w:szCs w:val="28"/>
        </w:rPr>
        <w:t>5</w:t>
      </w:r>
      <w:r w:rsidRPr="00B46A70">
        <w:rPr>
          <w:sz w:val="28"/>
          <w:szCs w:val="28"/>
        </w:rPr>
        <w:t xml:space="preserve"> </w:t>
      </w:r>
      <w:r>
        <w:rPr>
          <w:sz w:val="28"/>
          <w:szCs w:val="28"/>
        </w:rPr>
        <w:t xml:space="preserve">Cwm Taf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5D1F8E3D" w14:textId="77777777" w:rsidR="00267D6D" w:rsidRDefault="00267D6D" w:rsidP="00F42D25">
      <w:pPr>
        <w:rPr>
          <w:sz w:val="28"/>
          <w:szCs w:val="28"/>
        </w:rPr>
      </w:pPr>
      <w:r>
        <w:rPr>
          <w:noProof/>
          <w:sz w:val="28"/>
          <w:szCs w:val="28"/>
          <w:lang w:eastAsia="en-GB"/>
        </w:rPr>
        <w:drawing>
          <wp:inline distT="0" distB="0" distL="0" distR="0" wp14:anchorId="53A05A0C" wp14:editId="49AB6A7B">
            <wp:extent cx="5886000" cy="32400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6000" cy="3240000"/>
                    </a:xfrm>
                    <a:prstGeom prst="rect">
                      <a:avLst/>
                    </a:prstGeom>
                    <a:noFill/>
                  </pic:spPr>
                </pic:pic>
              </a:graphicData>
            </a:graphic>
          </wp:inline>
        </w:drawing>
      </w:r>
    </w:p>
    <w:p w14:paraId="1EA09CEB" w14:textId="77777777" w:rsidR="00267D6D" w:rsidRDefault="00267D6D" w:rsidP="00F42D25">
      <w:pPr>
        <w:rPr>
          <w:sz w:val="28"/>
          <w:szCs w:val="28"/>
        </w:rPr>
      </w:pPr>
    </w:p>
    <w:p w14:paraId="12B0A649" w14:textId="77777777" w:rsidR="00267D6D" w:rsidRDefault="00267D6D" w:rsidP="00267D6D">
      <w:pPr>
        <w:rPr>
          <w:sz w:val="28"/>
          <w:szCs w:val="28"/>
        </w:rPr>
      </w:pPr>
      <w:r w:rsidRPr="00B46A70">
        <w:rPr>
          <w:sz w:val="28"/>
          <w:szCs w:val="28"/>
        </w:rPr>
        <w:t xml:space="preserve">Figure </w:t>
      </w:r>
      <w:r>
        <w:rPr>
          <w:sz w:val="28"/>
          <w:szCs w:val="28"/>
        </w:rPr>
        <w:t>1</w:t>
      </w:r>
      <w:r w:rsidR="00246752">
        <w:rPr>
          <w:sz w:val="28"/>
          <w:szCs w:val="28"/>
        </w:rPr>
        <w:t>6</w:t>
      </w:r>
      <w:r w:rsidRPr="00B46A70">
        <w:rPr>
          <w:sz w:val="28"/>
          <w:szCs w:val="28"/>
        </w:rPr>
        <w:t xml:space="preserve"> </w:t>
      </w:r>
      <w:r>
        <w:rPr>
          <w:sz w:val="28"/>
          <w:szCs w:val="28"/>
        </w:rPr>
        <w:t xml:space="preserve">Hywel Dda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1DE7F9DD" w14:textId="77777777" w:rsidR="00E253AE" w:rsidRDefault="00EE3C2F" w:rsidP="00267D6D">
      <w:pPr>
        <w:rPr>
          <w:sz w:val="28"/>
          <w:szCs w:val="28"/>
        </w:rPr>
      </w:pPr>
      <w:r>
        <w:rPr>
          <w:noProof/>
          <w:sz w:val="28"/>
          <w:szCs w:val="28"/>
          <w:lang w:eastAsia="en-GB"/>
        </w:rPr>
        <w:drawing>
          <wp:inline distT="0" distB="0" distL="0" distR="0" wp14:anchorId="5020CEA5" wp14:editId="15A4613E">
            <wp:extent cx="6350400" cy="360000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400" cy="3600000"/>
                    </a:xfrm>
                    <a:prstGeom prst="rect">
                      <a:avLst/>
                    </a:prstGeom>
                    <a:noFill/>
                  </pic:spPr>
                </pic:pic>
              </a:graphicData>
            </a:graphic>
          </wp:inline>
        </w:drawing>
      </w:r>
    </w:p>
    <w:p w14:paraId="676967BA" w14:textId="77777777" w:rsidR="00E253AE" w:rsidRDefault="00E253AE" w:rsidP="00267D6D">
      <w:pPr>
        <w:rPr>
          <w:sz w:val="28"/>
          <w:szCs w:val="28"/>
        </w:rPr>
      </w:pPr>
    </w:p>
    <w:p w14:paraId="51BD3F9C" w14:textId="77777777" w:rsidR="00EE3C2F" w:rsidRDefault="00EE3C2F" w:rsidP="00267D6D">
      <w:pPr>
        <w:rPr>
          <w:sz w:val="28"/>
          <w:szCs w:val="28"/>
        </w:rPr>
      </w:pPr>
    </w:p>
    <w:p w14:paraId="643E12DF" w14:textId="77777777" w:rsidR="00267D6D" w:rsidRDefault="00267D6D" w:rsidP="00267D6D">
      <w:pPr>
        <w:rPr>
          <w:sz w:val="28"/>
          <w:szCs w:val="28"/>
        </w:rPr>
      </w:pPr>
      <w:r w:rsidRPr="00B46A70">
        <w:rPr>
          <w:sz w:val="28"/>
          <w:szCs w:val="28"/>
        </w:rPr>
        <w:t xml:space="preserve">Figure </w:t>
      </w:r>
      <w:r>
        <w:rPr>
          <w:sz w:val="28"/>
          <w:szCs w:val="28"/>
        </w:rPr>
        <w:t>1</w:t>
      </w:r>
      <w:r w:rsidR="00246752">
        <w:rPr>
          <w:sz w:val="28"/>
          <w:szCs w:val="28"/>
        </w:rPr>
        <w:t>7</w:t>
      </w:r>
      <w:r w:rsidRPr="00B46A70">
        <w:rPr>
          <w:sz w:val="28"/>
          <w:szCs w:val="28"/>
        </w:rPr>
        <w:t xml:space="preserve"> </w:t>
      </w:r>
      <w:r>
        <w:rPr>
          <w:sz w:val="28"/>
          <w:szCs w:val="28"/>
        </w:rPr>
        <w:t xml:space="preserve">Powys </w:t>
      </w:r>
      <w:r w:rsidRPr="00B46A70">
        <w:rPr>
          <w:sz w:val="28"/>
          <w:szCs w:val="28"/>
        </w:rPr>
        <w:t xml:space="preserve">– </w:t>
      </w:r>
      <w:r>
        <w:rPr>
          <w:sz w:val="28"/>
          <w:szCs w:val="28"/>
        </w:rPr>
        <w:t>%</w:t>
      </w:r>
      <w:r w:rsidRPr="00B46A70">
        <w:rPr>
          <w:sz w:val="28"/>
          <w:szCs w:val="28"/>
        </w:rPr>
        <w:t>dmft</w:t>
      </w:r>
      <w:r>
        <w:rPr>
          <w:sz w:val="28"/>
          <w:szCs w:val="28"/>
        </w:rPr>
        <w:t>&gt;0</w:t>
      </w:r>
      <w:r w:rsidRPr="00B46A70">
        <w:rPr>
          <w:sz w:val="28"/>
          <w:szCs w:val="28"/>
        </w:rPr>
        <w:t xml:space="preserve"> by U</w:t>
      </w:r>
      <w:r>
        <w:rPr>
          <w:sz w:val="28"/>
          <w:szCs w:val="28"/>
        </w:rPr>
        <w:t>nitary Authority, 2007/08 to 2015/16</w:t>
      </w:r>
    </w:p>
    <w:p w14:paraId="3C66CEA0" w14:textId="77777777" w:rsidR="00E253AE" w:rsidRDefault="0017052B" w:rsidP="00267D6D">
      <w:pPr>
        <w:rPr>
          <w:sz w:val="28"/>
          <w:szCs w:val="28"/>
        </w:rPr>
      </w:pPr>
      <w:r>
        <w:rPr>
          <w:noProof/>
          <w:sz w:val="28"/>
          <w:szCs w:val="28"/>
          <w:lang w:eastAsia="en-GB"/>
        </w:rPr>
        <w:drawing>
          <wp:inline distT="0" distB="0" distL="0" distR="0" wp14:anchorId="5E333E12" wp14:editId="6EE11B5E">
            <wp:extent cx="5536344" cy="3639671"/>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40703" cy="3642536"/>
                    </a:xfrm>
                    <a:prstGeom prst="rect">
                      <a:avLst/>
                    </a:prstGeom>
                    <a:noFill/>
                  </pic:spPr>
                </pic:pic>
              </a:graphicData>
            </a:graphic>
          </wp:inline>
        </w:drawing>
      </w:r>
    </w:p>
    <w:p w14:paraId="4F11B341" w14:textId="77777777" w:rsidR="00E253AE" w:rsidRDefault="00E253AE" w:rsidP="00267D6D">
      <w:pPr>
        <w:rPr>
          <w:sz w:val="28"/>
          <w:szCs w:val="28"/>
        </w:rPr>
      </w:pPr>
    </w:p>
    <w:p w14:paraId="7516AA5D" w14:textId="77777777" w:rsidR="00267D6D" w:rsidRDefault="00267D6D" w:rsidP="00F42D25">
      <w:pPr>
        <w:rPr>
          <w:sz w:val="28"/>
          <w:szCs w:val="28"/>
        </w:rPr>
      </w:pPr>
    </w:p>
    <w:p w14:paraId="0192A541" w14:textId="77777777" w:rsidR="00267D6D" w:rsidRDefault="00267D6D" w:rsidP="00F42D25">
      <w:pPr>
        <w:rPr>
          <w:sz w:val="28"/>
          <w:szCs w:val="28"/>
        </w:rPr>
      </w:pPr>
    </w:p>
    <w:p w14:paraId="71DA5EA4" w14:textId="77777777" w:rsidR="00267D6D" w:rsidRDefault="00267D6D" w:rsidP="00F42D25">
      <w:pPr>
        <w:rPr>
          <w:sz w:val="28"/>
          <w:szCs w:val="28"/>
        </w:rPr>
      </w:pPr>
    </w:p>
    <w:p w14:paraId="616DA3FA" w14:textId="77777777" w:rsidR="00267D6D" w:rsidRDefault="00267D6D" w:rsidP="00F42D25">
      <w:pPr>
        <w:rPr>
          <w:sz w:val="28"/>
          <w:szCs w:val="28"/>
        </w:rPr>
      </w:pPr>
    </w:p>
    <w:p w14:paraId="46389080" w14:textId="77777777" w:rsidR="00267D6D" w:rsidRDefault="00267D6D" w:rsidP="00F42D25">
      <w:pPr>
        <w:rPr>
          <w:sz w:val="28"/>
          <w:szCs w:val="28"/>
        </w:rPr>
      </w:pPr>
    </w:p>
    <w:p w14:paraId="030C60CF" w14:textId="77777777" w:rsidR="00F42D25" w:rsidRDefault="00F42D25" w:rsidP="00F42D25">
      <w:pPr>
        <w:rPr>
          <w:sz w:val="28"/>
          <w:szCs w:val="28"/>
        </w:rPr>
      </w:pPr>
    </w:p>
    <w:p w14:paraId="0CEAA4AB" w14:textId="77777777" w:rsidR="000A0621" w:rsidRDefault="000A0621" w:rsidP="00B46A70">
      <w:pPr>
        <w:ind w:right="-613"/>
        <w:rPr>
          <w:color w:val="FF0000"/>
        </w:rPr>
      </w:pPr>
      <w:r>
        <w:rPr>
          <w:color w:val="FF0000"/>
        </w:rPr>
        <w:br w:type="page"/>
      </w:r>
    </w:p>
    <w:p w14:paraId="20BBE1D5" w14:textId="77777777" w:rsidR="005614AC" w:rsidRPr="00236A44" w:rsidRDefault="005614AC">
      <w:pPr>
        <w:rPr>
          <w:color w:val="FF0000"/>
        </w:rPr>
        <w:sectPr w:rsidR="005614AC" w:rsidRPr="00236A44" w:rsidSect="009C4B2E">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p>
    <w:p w14:paraId="62D36B34" w14:textId="77777777" w:rsidR="005614AC" w:rsidRPr="00C40D09" w:rsidRDefault="00C40D09" w:rsidP="002F2A6E">
      <w:pPr>
        <w:outlineLvl w:val="0"/>
        <w:rPr>
          <w:b/>
          <w:sz w:val="28"/>
          <w:szCs w:val="28"/>
        </w:rPr>
      </w:pPr>
      <w:bookmarkStart w:id="19" w:name="APPENDIX2"/>
      <w:r w:rsidRPr="00C40D09">
        <w:rPr>
          <w:b/>
          <w:sz w:val="28"/>
          <w:szCs w:val="28"/>
        </w:rPr>
        <w:lastRenderedPageBreak/>
        <w:t>Appendix</w:t>
      </w:r>
      <w:r>
        <w:rPr>
          <w:b/>
          <w:sz w:val="28"/>
          <w:szCs w:val="28"/>
        </w:rPr>
        <w:t xml:space="preserve"> 2 Key Dental Caries Variables from the Survey of 5 year</w:t>
      </w:r>
      <w:r w:rsidR="001D676B">
        <w:rPr>
          <w:b/>
          <w:sz w:val="28"/>
          <w:szCs w:val="28"/>
        </w:rPr>
        <w:t xml:space="preserve"> </w:t>
      </w:r>
      <w:r>
        <w:rPr>
          <w:b/>
          <w:sz w:val="28"/>
          <w:szCs w:val="28"/>
        </w:rPr>
        <w:t>o</w:t>
      </w:r>
      <w:r w:rsidR="00283CD9">
        <w:rPr>
          <w:b/>
          <w:sz w:val="28"/>
          <w:szCs w:val="28"/>
        </w:rPr>
        <w:t>lds 2015</w:t>
      </w:r>
      <w:r w:rsidRPr="00C40D09">
        <w:rPr>
          <w:b/>
          <w:sz w:val="28"/>
          <w:szCs w:val="28"/>
        </w:rPr>
        <w:t>/1</w:t>
      </w:r>
      <w:r w:rsidR="00283CD9">
        <w:rPr>
          <w:b/>
          <w:sz w:val="28"/>
          <w:szCs w:val="28"/>
        </w:rPr>
        <w:t>6</w:t>
      </w:r>
    </w:p>
    <w:bookmarkEnd w:id="19"/>
    <w:p w14:paraId="63C49BBE" w14:textId="347A7341" w:rsidR="00283CD9" w:rsidRDefault="00106EF7">
      <w:pPr>
        <w:rPr>
          <w:sz w:val="28"/>
          <w:szCs w:val="28"/>
        </w:rPr>
      </w:pPr>
      <w:r w:rsidRPr="00106EF7">
        <w:rPr>
          <w:noProof/>
          <w:lang w:eastAsia="en-GB"/>
        </w:rPr>
        <w:drawing>
          <wp:inline distT="0" distB="0" distL="0" distR="0" wp14:anchorId="73E4870D" wp14:editId="6561132A">
            <wp:extent cx="5731200" cy="6793200"/>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200" cy="6793200"/>
                    </a:xfrm>
                    <a:prstGeom prst="rect">
                      <a:avLst/>
                    </a:prstGeom>
                    <a:noFill/>
                    <a:ln>
                      <a:noFill/>
                    </a:ln>
                  </pic:spPr>
                </pic:pic>
              </a:graphicData>
            </a:graphic>
          </wp:inline>
        </w:drawing>
      </w:r>
    </w:p>
    <w:p w14:paraId="4D025A05" w14:textId="7D78C0DB" w:rsidR="00106EF7" w:rsidRDefault="005143DB" w:rsidP="00106EF7">
      <w:pPr>
        <w:spacing w:after="60"/>
        <w:rPr>
          <w:sz w:val="28"/>
          <w:szCs w:val="28"/>
        </w:rPr>
      </w:pPr>
      <w:hyperlink w:anchor="APPENDIX3" w:history="1">
        <w:r w:rsidR="00106EF7" w:rsidRPr="00106EF7">
          <w:rPr>
            <w:rStyle w:val="Hyperlink"/>
            <w:sz w:val="28"/>
            <w:szCs w:val="28"/>
          </w:rPr>
          <w:t>Appendix 3 – 2014/15</w:t>
        </w:r>
      </w:hyperlink>
    </w:p>
    <w:p w14:paraId="6E443E04" w14:textId="7B02EE30" w:rsidR="00106EF7" w:rsidRDefault="005143DB" w:rsidP="00106EF7">
      <w:pPr>
        <w:spacing w:after="60"/>
        <w:rPr>
          <w:sz w:val="28"/>
          <w:szCs w:val="28"/>
        </w:rPr>
      </w:pPr>
      <w:hyperlink w:anchor="APPENDIX4" w:history="1">
        <w:r w:rsidR="00106EF7" w:rsidRPr="00106EF7">
          <w:rPr>
            <w:rStyle w:val="Hyperlink"/>
            <w:sz w:val="28"/>
            <w:szCs w:val="28"/>
          </w:rPr>
          <w:t>Appendix 4 – 2011/12</w:t>
        </w:r>
      </w:hyperlink>
    </w:p>
    <w:p w14:paraId="4B0C153D" w14:textId="66CA8467" w:rsidR="00106EF7" w:rsidRDefault="005143DB" w:rsidP="00106EF7">
      <w:pPr>
        <w:spacing w:after="60"/>
        <w:rPr>
          <w:sz w:val="28"/>
          <w:szCs w:val="28"/>
        </w:rPr>
      </w:pPr>
      <w:hyperlink w:anchor="APPENDIX5" w:history="1">
        <w:r w:rsidR="00106EF7" w:rsidRPr="00106EF7">
          <w:rPr>
            <w:rStyle w:val="Hyperlink"/>
            <w:sz w:val="28"/>
            <w:szCs w:val="28"/>
          </w:rPr>
          <w:t>Appendix 5 – 2007/08</w:t>
        </w:r>
      </w:hyperlink>
    </w:p>
    <w:p w14:paraId="0C5B9108" w14:textId="77777777" w:rsidR="00283CD9" w:rsidRPr="00C40D09" w:rsidRDefault="00283CD9" w:rsidP="00283CD9">
      <w:pPr>
        <w:outlineLvl w:val="0"/>
        <w:rPr>
          <w:b/>
          <w:sz w:val="28"/>
          <w:szCs w:val="28"/>
        </w:rPr>
      </w:pPr>
      <w:bookmarkStart w:id="20" w:name="APPENDIX3"/>
      <w:r w:rsidRPr="00C40D09">
        <w:rPr>
          <w:b/>
          <w:sz w:val="28"/>
          <w:szCs w:val="28"/>
        </w:rPr>
        <w:lastRenderedPageBreak/>
        <w:t>Appendix</w:t>
      </w:r>
      <w:r>
        <w:rPr>
          <w:b/>
          <w:sz w:val="28"/>
          <w:szCs w:val="28"/>
        </w:rPr>
        <w:t xml:space="preserve"> 3 Key Dental Caries Variables from the Survey of 5 year o</w:t>
      </w:r>
      <w:r w:rsidRPr="00C40D09">
        <w:rPr>
          <w:b/>
          <w:sz w:val="28"/>
          <w:szCs w:val="28"/>
        </w:rPr>
        <w:t>lds 2014/15</w:t>
      </w:r>
    </w:p>
    <w:bookmarkEnd w:id="20"/>
    <w:p w14:paraId="2AF50371" w14:textId="2D597711" w:rsidR="00106EF7" w:rsidRDefault="003368EF" w:rsidP="00283CD9">
      <w:pPr>
        <w:rPr>
          <w:sz w:val="28"/>
          <w:szCs w:val="28"/>
        </w:rPr>
      </w:pPr>
      <w:r w:rsidRPr="003368EF">
        <w:rPr>
          <w:noProof/>
          <w:lang w:eastAsia="en-GB"/>
        </w:rPr>
        <w:drawing>
          <wp:inline distT="0" distB="0" distL="0" distR="0" wp14:anchorId="1AF5E3BF" wp14:editId="734C8FFE">
            <wp:extent cx="5731510" cy="619744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197447"/>
                    </a:xfrm>
                    <a:prstGeom prst="rect">
                      <a:avLst/>
                    </a:prstGeom>
                    <a:noFill/>
                    <a:ln>
                      <a:noFill/>
                    </a:ln>
                  </pic:spPr>
                </pic:pic>
              </a:graphicData>
            </a:graphic>
          </wp:inline>
        </w:drawing>
      </w:r>
    </w:p>
    <w:p w14:paraId="3B8EDC44" w14:textId="77777777" w:rsidR="00106EF7" w:rsidRDefault="005143DB" w:rsidP="00106EF7">
      <w:pPr>
        <w:spacing w:after="60"/>
        <w:rPr>
          <w:sz w:val="28"/>
          <w:szCs w:val="28"/>
        </w:rPr>
      </w:pPr>
      <w:hyperlink w:anchor="APPENDIX2" w:history="1">
        <w:r w:rsidR="00106EF7" w:rsidRPr="00106EF7">
          <w:rPr>
            <w:rStyle w:val="Hyperlink"/>
            <w:sz w:val="28"/>
            <w:szCs w:val="28"/>
          </w:rPr>
          <w:t>Appendix 2 – 2015/16</w:t>
        </w:r>
      </w:hyperlink>
    </w:p>
    <w:p w14:paraId="3F50901F" w14:textId="77777777" w:rsidR="00106EF7" w:rsidRDefault="005143DB" w:rsidP="00106EF7">
      <w:pPr>
        <w:spacing w:after="60"/>
        <w:rPr>
          <w:sz w:val="28"/>
          <w:szCs w:val="28"/>
        </w:rPr>
      </w:pPr>
      <w:hyperlink w:anchor="APPENDIX4" w:history="1">
        <w:r w:rsidR="00106EF7" w:rsidRPr="00106EF7">
          <w:rPr>
            <w:rStyle w:val="Hyperlink"/>
            <w:sz w:val="28"/>
            <w:szCs w:val="28"/>
          </w:rPr>
          <w:t>Appendix 4 – 2011/12</w:t>
        </w:r>
      </w:hyperlink>
    </w:p>
    <w:p w14:paraId="10B5DC24" w14:textId="77777777" w:rsidR="00106EF7" w:rsidRDefault="005143DB" w:rsidP="00106EF7">
      <w:pPr>
        <w:spacing w:after="60"/>
        <w:rPr>
          <w:sz w:val="28"/>
          <w:szCs w:val="28"/>
        </w:rPr>
      </w:pPr>
      <w:hyperlink w:anchor="APPENDIX5" w:history="1">
        <w:r w:rsidR="00106EF7" w:rsidRPr="00106EF7">
          <w:rPr>
            <w:rStyle w:val="Hyperlink"/>
            <w:sz w:val="28"/>
            <w:szCs w:val="28"/>
          </w:rPr>
          <w:t>Appendix 5 – 2007/08</w:t>
        </w:r>
      </w:hyperlink>
    </w:p>
    <w:p w14:paraId="2FD794F5" w14:textId="1491E1C4" w:rsidR="00283CD9" w:rsidRDefault="00283CD9" w:rsidP="00283CD9">
      <w:pPr>
        <w:rPr>
          <w:sz w:val="28"/>
          <w:szCs w:val="28"/>
        </w:rPr>
      </w:pPr>
      <w:r>
        <w:rPr>
          <w:sz w:val="28"/>
          <w:szCs w:val="28"/>
        </w:rPr>
        <w:br w:type="page"/>
      </w:r>
    </w:p>
    <w:p w14:paraId="7C7A458E" w14:textId="77777777" w:rsidR="00B46A70" w:rsidRPr="001D676B" w:rsidRDefault="00B46A70" w:rsidP="00B46A70">
      <w:pPr>
        <w:outlineLvl w:val="0"/>
        <w:rPr>
          <w:b/>
          <w:sz w:val="28"/>
          <w:szCs w:val="28"/>
        </w:rPr>
      </w:pPr>
      <w:bookmarkStart w:id="21" w:name="APPENDIX4"/>
      <w:r w:rsidRPr="001D676B">
        <w:rPr>
          <w:b/>
          <w:sz w:val="28"/>
          <w:szCs w:val="28"/>
        </w:rPr>
        <w:lastRenderedPageBreak/>
        <w:t xml:space="preserve">Appendix </w:t>
      </w:r>
      <w:r w:rsidR="00283CD9">
        <w:rPr>
          <w:b/>
          <w:sz w:val="28"/>
          <w:szCs w:val="28"/>
        </w:rPr>
        <w:t>4</w:t>
      </w:r>
      <w:r w:rsidRPr="001D676B">
        <w:rPr>
          <w:b/>
          <w:sz w:val="28"/>
          <w:szCs w:val="28"/>
        </w:rPr>
        <w:t xml:space="preserve"> </w:t>
      </w:r>
      <w:r w:rsidR="00FD078A" w:rsidRPr="001D676B">
        <w:rPr>
          <w:b/>
          <w:sz w:val="28"/>
          <w:szCs w:val="28"/>
        </w:rPr>
        <w:t xml:space="preserve">Key </w:t>
      </w:r>
      <w:r w:rsidR="001D676B">
        <w:rPr>
          <w:b/>
          <w:sz w:val="28"/>
          <w:szCs w:val="28"/>
        </w:rPr>
        <w:t>D</w:t>
      </w:r>
      <w:r w:rsidR="00FD078A" w:rsidRPr="001D676B">
        <w:rPr>
          <w:b/>
          <w:sz w:val="28"/>
          <w:szCs w:val="28"/>
        </w:rPr>
        <w:t xml:space="preserve">ental </w:t>
      </w:r>
      <w:r w:rsidR="001D676B" w:rsidRPr="001D676B">
        <w:rPr>
          <w:b/>
          <w:sz w:val="28"/>
          <w:szCs w:val="28"/>
        </w:rPr>
        <w:t xml:space="preserve">Caries Variables </w:t>
      </w:r>
      <w:r w:rsidRPr="001D676B">
        <w:rPr>
          <w:b/>
          <w:sz w:val="28"/>
          <w:szCs w:val="28"/>
        </w:rPr>
        <w:t>from</w:t>
      </w:r>
      <w:r w:rsidR="00033673" w:rsidRPr="001D676B">
        <w:rPr>
          <w:b/>
          <w:sz w:val="28"/>
          <w:szCs w:val="28"/>
        </w:rPr>
        <w:t xml:space="preserve"> the </w:t>
      </w:r>
      <w:r w:rsidR="001D676B" w:rsidRPr="001D676B">
        <w:rPr>
          <w:b/>
          <w:sz w:val="28"/>
          <w:szCs w:val="28"/>
        </w:rPr>
        <w:t xml:space="preserve">Survey </w:t>
      </w:r>
      <w:r w:rsidR="00033673" w:rsidRPr="001D676B">
        <w:rPr>
          <w:b/>
          <w:sz w:val="28"/>
          <w:szCs w:val="28"/>
        </w:rPr>
        <w:t>of 5 year olds 2011/</w:t>
      </w:r>
      <w:r w:rsidRPr="001D676B">
        <w:rPr>
          <w:b/>
          <w:sz w:val="28"/>
          <w:szCs w:val="28"/>
        </w:rPr>
        <w:t>12</w:t>
      </w:r>
    </w:p>
    <w:bookmarkEnd w:id="21"/>
    <w:p w14:paraId="79CB4E85" w14:textId="3C816CCF" w:rsidR="005614AC" w:rsidRDefault="0084141F">
      <w:pPr>
        <w:rPr>
          <w:color w:val="FF0000"/>
        </w:rPr>
      </w:pPr>
      <w:r w:rsidRPr="0084141F">
        <w:rPr>
          <w:noProof/>
          <w:lang w:eastAsia="en-GB"/>
        </w:rPr>
        <w:drawing>
          <wp:inline distT="0" distB="0" distL="0" distR="0" wp14:anchorId="0935171F" wp14:editId="205C056A">
            <wp:extent cx="5731200" cy="64260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200" cy="6426000"/>
                    </a:xfrm>
                    <a:prstGeom prst="rect">
                      <a:avLst/>
                    </a:prstGeom>
                    <a:noFill/>
                    <a:ln>
                      <a:noFill/>
                    </a:ln>
                  </pic:spPr>
                </pic:pic>
              </a:graphicData>
            </a:graphic>
          </wp:inline>
        </w:drawing>
      </w:r>
    </w:p>
    <w:p w14:paraId="4CA83B21" w14:textId="77777777" w:rsidR="00106EF7" w:rsidRDefault="005143DB" w:rsidP="00106EF7">
      <w:pPr>
        <w:spacing w:after="60"/>
        <w:rPr>
          <w:sz w:val="28"/>
          <w:szCs w:val="28"/>
        </w:rPr>
      </w:pPr>
      <w:hyperlink w:anchor="APPENDIX2" w:history="1">
        <w:r w:rsidR="00106EF7" w:rsidRPr="00106EF7">
          <w:rPr>
            <w:rStyle w:val="Hyperlink"/>
            <w:sz w:val="28"/>
            <w:szCs w:val="28"/>
          </w:rPr>
          <w:t>Appendix 2 – 2015/16</w:t>
        </w:r>
      </w:hyperlink>
    </w:p>
    <w:p w14:paraId="6CF141CB" w14:textId="77777777" w:rsidR="00106EF7" w:rsidRDefault="005143DB" w:rsidP="00106EF7">
      <w:pPr>
        <w:spacing w:after="60"/>
        <w:rPr>
          <w:sz w:val="28"/>
          <w:szCs w:val="28"/>
        </w:rPr>
      </w:pPr>
      <w:hyperlink w:anchor="APPENDIX3" w:history="1">
        <w:r w:rsidR="00106EF7" w:rsidRPr="00106EF7">
          <w:rPr>
            <w:rStyle w:val="Hyperlink"/>
            <w:sz w:val="28"/>
            <w:szCs w:val="28"/>
          </w:rPr>
          <w:t>Appendix 3 – 2014/15</w:t>
        </w:r>
      </w:hyperlink>
    </w:p>
    <w:p w14:paraId="0F6AB93D" w14:textId="77777777" w:rsidR="00106EF7" w:rsidRDefault="005143DB" w:rsidP="00106EF7">
      <w:pPr>
        <w:spacing w:after="60"/>
        <w:rPr>
          <w:sz w:val="28"/>
          <w:szCs w:val="28"/>
        </w:rPr>
      </w:pPr>
      <w:hyperlink w:anchor="APPENDIX5" w:history="1">
        <w:r w:rsidR="00106EF7" w:rsidRPr="00106EF7">
          <w:rPr>
            <w:rStyle w:val="Hyperlink"/>
            <w:sz w:val="28"/>
            <w:szCs w:val="28"/>
          </w:rPr>
          <w:t>Appendix 5 – 2007/08</w:t>
        </w:r>
      </w:hyperlink>
    </w:p>
    <w:p w14:paraId="2BCB139E" w14:textId="77777777" w:rsidR="00106EF7" w:rsidRPr="00236A44" w:rsidRDefault="00106EF7">
      <w:pPr>
        <w:rPr>
          <w:color w:val="FF0000"/>
        </w:rPr>
      </w:pPr>
    </w:p>
    <w:p w14:paraId="079040ED" w14:textId="77777777" w:rsidR="006563F8" w:rsidRPr="00236A44" w:rsidRDefault="006563F8">
      <w:pPr>
        <w:rPr>
          <w:color w:val="FF0000"/>
        </w:rPr>
      </w:pPr>
      <w:r w:rsidRPr="00236A44">
        <w:rPr>
          <w:color w:val="FF0000"/>
        </w:rPr>
        <w:br w:type="page"/>
      </w:r>
    </w:p>
    <w:p w14:paraId="44177A45" w14:textId="77777777" w:rsidR="006563F8" w:rsidRPr="001D676B" w:rsidRDefault="006563F8" w:rsidP="002F2A6E">
      <w:pPr>
        <w:outlineLvl w:val="0"/>
        <w:rPr>
          <w:b/>
          <w:sz w:val="28"/>
          <w:szCs w:val="28"/>
        </w:rPr>
      </w:pPr>
      <w:bookmarkStart w:id="22" w:name="APPENDIX5"/>
      <w:r w:rsidRPr="001D676B">
        <w:rPr>
          <w:b/>
          <w:sz w:val="28"/>
          <w:szCs w:val="28"/>
        </w:rPr>
        <w:lastRenderedPageBreak/>
        <w:t xml:space="preserve">Appendix </w:t>
      </w:r>
      <w:r w:rsidR="00283CD9">
        <w:rPr>
          <w:b/>
          <w:sz w:val="28"/>
          <w:szCs w:val="28"/>
        </w:rPr>
        <w:t>5</w:t>
      </w:r>
      <w:r w:rsidRPr="001D676B">
        <w:rPr>
          <w:b/>
          <w:sz w:val="28"/>
          <w:szCs w:val="28"/>
        </w:rPr>
        <w:t xml:space="preserve"> </w:t>
      </w:r>
      <w:r w:rsidR="00FD078A" w:rsidRPr="001D676B">
        <w:rPr>
          <w:b/>
          <w:sz w:val="28"/>
          <w:szCs w:val="28"/>
        </w:rPr>
        <w:t xml:space="preserve">Key </w:t>
      </w:r>
      <w:r w:rsidR="001D676B" w:rsidRPr="001D676B">
        <w:rPr>
          <w:b/>
          <w:sz w:val="28"/>
          <w:szCs w:val="28"/>
        </w:rPr>
        <w:t xml:space="preserve">Dental Caries Variables </w:t>
      </w:r>
      <w:r w:rsidRPr="001D676B">
        <w:rPr>
          <w:b/>
          <w:sz w:val="28"/>
          <w:szCs w:val="28"/>
        </w:rPr>
        <w:t xml:space="preserve">from the </w:t>
      </w:r>
      <w:r w:rsidR="001D676B" w:rsidRPr="001D676B">
        <w:rPr>
          <w:b/>
          <w:sz w:val="28"/>
          <w:szCs w:val="28"/>
        </w:rPr>
        <w:t xml:space="preserve">Survey </w:t>
      </w:r>
      <w:r w:rsidRPr="001D676B">
        <w:rPr>
          <w:b/>
          <w:sz w:val="28"/>
          <w:szCs w:val="28"/>
        </w:rPr>
        <w:t>of 5 year olds 2007</w:t>
      </w:r>
      <w:r w:rsidR="00033673" w:rsidRPr="001D676B">
        <w:rPr>
          <w:b/>
          <w:sz w:val="28"/>
          <w:szCs w:val="28"/>
        </w:rPr>
        <w:t>/</w:t>
      </w:r>
      <w:r w:rsidRPr="001D676B">
        <w:rPr>
          <w:b/>
          <w:sz w:val="28"/>
          <w:szCs w:val="28"/>
        </w:rPr>
        <w:t>08</w:t>
      </w:r>
    </w:p>
    <w:bookmarkEnd w:id="22"/>
    <w:p w14:paraId="53BA8F6B" w14:textId="3813D79F" w:rsidR="006563F8" w:rsidRDefault="0084141F">
      <w:pPr>
        <w:rPr>
          <w:color w:val="FF0000"/>
        </w:rPr>
      </w:pPr>
      <w:r w:rsidRPr="0084141F">
        <w:rPr>
          <w:noProof/>
          <w:lang w:eastAsia="en-GB"/>
        </w:rPr>
        <w:drawing>
          <wp:inline distT="0" distB="0" distL="0" distR="0" wp14:anchorId="4246D54D" wp14:editId="123A6822">
            <wp:extent cx="5731200" cy="61056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200" cy="6105600"/>
                    </a:xfrm>
                    <a:prstGeom prst="rect">
                      <a:avLst/>
                    </a:prstGeom>
                    <a:noFill/>
                    <a:ln>
                      <a:noFill/>
                    </a:ln>
                  </pic:spPr>
                </pic:pic>
              </a:graphicData>
            </a:graphic>
          </wp:inline>
        </w:drawing>
      </w:r>
    </w:p>
    <w:p w14:paraId="0C51048C" w14:textId="77777777" w:rsidR="00106EF7" w:rsidRDefault="005143DB" w:rsidP="00106EF7">
      <w:pPr>
        <w:spacing w:after="60"/>
        <w:rPr>
          <w:sz w:val="28"/>
          <w:szCs w:val="28"/>
        </w:rPr>
      </w:pPr>
      <w:hyperlink w:anchor="APPENDIX2" w:history="1">
        <w:r w:rsidR="00106EF7" w:rsidRPr="00106EF7">
          <w:rPr>
            <w:rStyle w:val="Hyperlink"/>
            <w:sz w:val="28"/>
            <w:szCs w:val="28"/>
          </w:rPr>
          <w:t>Appendix 2 – 2015/16</w:t>
        </w:r>
      </w:hyperlink>
    </w:p>
    <w:p w14:paraId="1B2828DB" w14:textId="77777777" w:rsidR="00106EF7" w:rsidRDefault="005143DB" w:rsidP="00106EF7">
      <w:pPr>
        <w:spacing w:after="60"/>
        <w:rPr>
          <w:sz w:val="28"/>
          <w:szCs w:val="28"/>
        </w:rPr>
      </w:pPr>
      <w:hyperlink w:anchor="APPENDIX3" w:history="1">
        <w:r w:rsidR="00106EF7" w:rsidRPr="00106EF7">
          <w:rPr>
            <w:rStyle w:val="Hyperlink"/>
            <w:sz w:val="28"/>
            <w:szCs w:val="28"/>
          </w:rPr>
          <w:t>Appendix 3 – 2014/15</w:t>
        </w:r>
      </w:hyperlink>
    </w:p>
    <w:p w14:paraId="6EB423A9" w14:textId="77777777" w:rsidR="00106EF7" w:rsidRDefault="005143DB" w:rsidP="00106EF7">
      <w:pPr>
        <w:spacing w:after="60"/>
        <w:rPr>
          <w:sz w:val="28"/>
          <w:szCs w:val="28"/>
        </w:rPr>
      </w:pPr>
      <w:hyperlink w:anchor="APPENDIX4" w:history="1">
        <w:r w:rsidR="00106EF7" w:rsidRPr="00106EF7">
          <w:rPr>
            <w:rStyle w:val="Hyperlink"/>
            <w:sz w:val="28"/>
            <w:szCs w:val="28"/>
          </w:rPr>
          <w:t>Appendix 4 – 2011/12</w:t>
        </w:r>
      </w:hyperlink>
    </w:p>
    <w:p w14:paraId="371CDA5B" w14:textId="77777777" w:rsidR="00BE4E7B" w:rsidRDefault="00BE4E7B">
      <w:pPr>
        <w:rPr>
          <w:color w:val="FF0000"/>
        </w:rPr>
      </w:pPr>
    </w:p>
    <w:p w14:paraId="68F1B0C5" w14:textId="77777777" w:rsidR="00BE4E7B" w:rsidRDefault="00BE4E7B">
      <w:pPr>
        <w:rPr>
          <w:color w:val="FF0000"/>
        </w:rPr>
      </w:pPr>
    </w:p>
    <w:p w14:paraId="1B175BFF" w14:textId="77777777" w:rsidR="00BE4E7B" w:rsidRDefault="00BE4E7B">
      <w:pPr>
        <w:rPr>
          <w:color w:val="FF0000"/>
        </w:rPr>
      </w:pPr>
    </w:p>
    <w:p w14:paraId="59DC5098" w14:textId="77777777" w:rsidR="00BE4E7B" w:rsidRDefault="00BE4E7B" w:rsidP="00BE4E7B">
      <w:pPr>
        <w:outlineLvl w:val="0"/>
        <w:rPr>
          <w:b/>
          <w:sz w:val="28"/>
          <w:szCs w:val="28"/>
        </w:rPr>
      </w:pPr>
      <w:bookmarkStart w:id="23" w:name="APPENDIX6"/>
      <w:r>
        <w:rPr>
          <w:b/>
          <w:sz w:val="28"/>
          <w:szCs w:val="28"/>
        </w:rPr>
        <w:lastRenderedPageBreak/>
        <w:t xml:space="preserve">Appendix </w:t>
      </w:r>
      <w:r w:rsidR="00283CD9">
        <w:rPr>
          <w:b/>
          <w:sz w:val="28"/>
          <w:szCs w:val="28"/>
        </w:rPr>
        <w:t>6</w:t>
      </w:r>
      <w:r w:rsidRPr="001D676B">
        <w:rPr>
          <w:b/>
          <w:sz w:val="28"/>
          <w:szCs w:val="28"/>
        </w:rPr>
        <w:t xml:space="preserve"> </w:t>
      </w:r>
      <w:r>
        <w:rPr>
          <w:b/>
          <w:sz w:val="28"/>
          <w:szCs w:val="28"/>
        </w:rPr>
        <w:t>Interpretation of historical survey data</w:t>
      </w:r>
    </w:p>
    <w:bookmarkEnd w:id="23"/>
    <w:p w14:paraId="740CC091" w14:textId="6CB25625" w:rsidR="00BE4E7B" w:rsidRPr="00C30749" w:rsidRDefault="00BE4E7B" w:rsidP="00BE4E7B">
      <w:pPr>
        <w:rPr>
          <w:sz w:val="24"/>
          <w:szCs w:val="24"/>
        </w:rPr>
      </w:pPr>
      <w:r w:rsidRPr="00C30749">
        <w:rPr>
          <w:sz w:val="24"/>
          <w:szCs w:val="24"/>
        </w:rPr>
        <w:t xml:space="preserve">This document on the NHS dental survey programme in Wales is the </w:t>
      </w:r>
      <w:r w:rsidR="00E90ED1">
        <w:rPr>
          <w:sz w:val="24"/>
          <w:szCs w:val="24"/>
        </w:rPr>
        <w:t>fourth</w:t>
      </w:r>
      <w:r w:rsidRPr="00C30749">
        <w:rPr>
          <w:sz w:val="24"/>
          <w:szCs w:val="24"/>
        </w:rPr>
        <w:t xml:space="preserve"> produced since changes had to be made to the consent arrangements for dental examination of school year 1 children (approximately 5-year-old) requiring formal written parental consent. </w:t>
      </w:r>
    </w:p>
    <w:p w14:paraId="2844635A" w14:textId="77777777" w:rsidR="00BE4E7B" w:rsidRPr="00C30749" w:rsidRDefault="00BE4E7B" w:rsidP="00BE4E7B">
      <w:pPr>
        <w:rPr>
          <w:sz w:val="24"/>
          <w:szCs w:val="24"/>
        </w:rPr>
      </w:pPr>
      <w:r w:rsidRPr="00C30749">
        <w:rPr>
          <w:sz w:val="24"/>
          <w:szCs w:val="24"/>
        </w:rPr>
        <w:t xml:space="preserve">Data collected before 2006 cannot be compared with data collected </w:t>
      </w:r>
      <w:r>
        <w:rPr>
          <w:sz w:val="24"/>
          <w:szCs w:val="24"/>
        </w:rPr>
        <w:t>from</w:t>
      </w:r>
      <w:r w:rsidRPr="00C30749">
        <w:rPr>
          <w:sz w:val="24"/>
          <w:szCs w:val="24"/>
        </w:rPr>
        <w:t xml:space="preserve"> 2007/08. The bias introduced by the changed consent arrangements will never be fully understood because children were not examined if parental consent was not provided.</w:t>
      </w:r>
    </w:p>
    <w:p w14:paraId="62A44417" w14:textId="77777777" w:rsidR="00BE4E7B" w:rsidRPr="00C30749" w:rsidRDefault="00BE4E7B" w:rsidP="00BE4E7B">
      <w:pPr>
        <w:rPr>
          <w:sz w:val="24"/>
          <w:szCs w:val="24"/>
        </w:rPr>
      </w:pPr>
      <w:r w:rsidRPr="00C30749">
        <w:rPr>
          <w:sz w:val="24"/>
          <w:szCs w:val="24"/>
        </w:rPr>
        <w:t>Decay levels generated from surveys of this age group are recognised as an underestimation of the true experience for three main reasons:</w:t>
      </w:r>
    </w:p>
    <w:p w14:paraId="52D522BC" w14:textId="77777777" w:rsidR="00BE4E7B" w:rsidRPr="00C30749" w:rsidRDefault="00BE4E7B" w:rsidP="00BE4E7B">
      <w:pPr>
        <w:pStyle w:val="ListParagraph"/>
        <w:numPr>
          <w:ilvl w:val="0"/>
          <w:numId w:val="3"/>
        </w:numPr>
        <w:spacing w:after="240"/>
        <w:ind w:left="714" w:hanging="357"/>
        <w:contextualSpacing w:val="0"/>
        <w:rPr>
          <w:sz w:val="24"/>
          <w:szCs w:val="24"/>
        </w:rPr>
      </w:pPr>
      <w:r w:rsidRPr="00C30749">
        <w:rPr>
          <w:sz w:val="24"/>
          <w:szCs w:val="24"/>
        </w:rPr>
        <w:t>Missing deciduous incisors are not included in these calculations because in a few children they may have naturally exfoliated by age 5. All missing incisors are assumed to have been naturally exfoliated although some will in fact have been extracted. Thus the reported decay levels at age 5 are always a slight underestimation of the true decay experience of those children examined in a survey.</w:t>
      </w:r>
    </w:p>
    <w:p w14:paraId="55A27437" w14:textId="77777777" w:rsidR="00BE4E7B" w:rsidRPr="00C30749" w:rsidRDefault="00BE4E7B" w:rsidP="00BE4E7B">
      <w:pPr>
        <w:pStyle w:val="ListParagraph"/>
        <w:numPr>
          <w:ilvl w:val="0"/>
          <w:numId w:val="3"/>
        </w:numPr>
        <w:spacing w:after="240"/>
        <w:ind w:left="714" w:hanging="357"/>
        <w:contextualSpacing w:val="0"/>
        <w:rPr>
          <w:sz w:val="24"/>
          <w:szCs w:val="24"/>
        </w:rPr>
      </w:pPr>
      <w:r w:rsidRPr="00C30749">
        <w:rPr>
          <w:sz w:val="24"/>
          <w:szCs w:val="24"/>
        </w:rPr>
        <w:t>These surveys employ a visual examination of the child’s mouth, no radiographs are taken. This is another factor which means that reported decay levels underestimate the true disease level.</w:t>
      </w:r>
    </w:p>
    <w:p w14:paraId="54514DBA" w14:textId="77777777" w:rsidR="00BE4E7B" w:rsidRPr="00C30749" w:rsidRDefault="00BE4E7B" w:rsidP="00BE4E7B">
      <w:pPr>
        <w:pStyle w:val="ListParagraph"/>
        <w:numPr>
          <w:ilvl w:val="0"/>
          <w:numId w:val="3"/>
        </w:numPr>
        <w:spacing w:after="360"/>
        <w:ind w:left="714" w:hanging="357"/>
        <w:contextualSpacing w:val="0"/>
        <w:rPr>
          <w:sz w:val="24"/>
          <w:szCs w:val="24"/>
        </w:rPr>
      </w:pPr>
      <w:r w:rsidRPr="00C30749">
        <w:rPr>
          <w:sz w:val="24"/>
          <w:szCs w:val="24"/>
        </w:rPr>
        <w:t xml:space="preserve">Furthermore, previous research suggests that children who do not participate in the dental surveys are likely to have more decay than those participating, </w:t>
      </w:r>
    </w:p>
    <w:p w14:paraId="4E1FBA0D" w14:textId="77777777" w:rsidR="00BE4E7B" w:rsidRDefault="00BE4E7B" w:rsidP="00BE4E7B">
      <w:pPr>
        <w:rPr>
          <w:sz w:val="24"/>
          <w:szCs w:val="24"/>
        </w:rPr>
      </w:pPr>
      <w:r w:rsidRPr="00C30749">
        <w:rPr>
          <w:sz w:val="24"/>
          <w:szCs w:val="24"/>
        </w:rPr>
        <w:t xml:space="preserve">Thus the mean decay levels in children reported here and in </w:t>
      </w:r>
      <w:r>
        <w:rPr>
          <w:sz w:val="24"/>
          <w:szCs w:val="24"/>
        </w:rPr>
        <w:t xml:space="preserve">the two </w:t>
      </w:r>
      <w:r w:rsidRPr="00C30749">
        <w:rPr>
          <w:sz w:val="24"/>
          <w:szCs w:val="24"/>
        </w:rPr>
        <w:t xml:space="preserve">previous surveys are likely to </w:t>
      </w:r>
      <w:r>
        <w:rPr>
          <w:sz w:val="24"/>
          <w:szCs w:val="24"/>
        </w:rPr>
        <w:t xml:space="preserve">slightly </w:t>
      </w:r>
      <w:r w:rsidRPr="00C30749">
        <w:rPr>
          <w:sz w:val="24"/>
          <w:szCs w:val="24"/>
        </w:rPr>
        <w:t>under estimate the true decay experience of children age</w:t>
      </w:r>
      <w:r>
        <w:rPr>
          <w:sz w:val="24"/>
          <w:szCs w:val="24"/>
        </w:rPr>
        <w:t>d</w:t>
      </w:r>
      <w:r w:rsidRPr="00C30749">
        <w:rPr>
          <w:sz w:val="24"/>
          <w:szCs w:val="24"/>
        </w:rPr>
        <w:t xml:space="preserve"> 5 in Wales.</w:t>
      </w:r>
    </w:p>
    <w:p w14:paraId="32316AA0" w14:textId="5D946A46" w:rsidR="00BE4E7B" w:rsidRPr="00C30749" w:rsidRDefault="00BE4E7B" w:rsidP="00BE4E7B">
      <w:pPr>
        <w:rPr>
          <w:sz w:val="24"/>
          <w:szCs w:val="24"/>
        </w:rPr>
      </w:pPr>
      <w:r>
        <w:rPr>
          <w:sz w:val="24"/>
          <w:szCs w:val="24"/>
        </w:rPr>
        <w:t xml:space="preserve">These underestimates are likely to be present in all </w:t>
      </w:r>
      <w:r w:rsidR="00E90ED1">
        <w:rPr>
          <w:sz w:val="24"/>
          <w:szCs w:val="24"/>
        </w:rPr>
        <w:t>four</w:t>
      </w:r>
      <w:r>
        <w:rPr>
          <w:sz w:val="24"/>
          <w:szCs w:val="24"/>
        </w:rPr>
        <w:t xml:space="preserve"> surveys since 2007 to similar degrees. As a result the trends reported by comparison across these surveys will provide a realist picture of changes in decay experience.</w:t>
      </w:r>
    </w:p>
    <w:p w14:paraId="2CD4572A" w14:textId="77777777" w:rsidR="00BE4E7B" w:rsidRDefault="00BE4E7B" w:rsidP="00BE4E7B">
      <w:pPr>
        <w:rPr>
          <w:sz w:val="24"/>
          <w:szCs w:val="24"/>
        </w:rPr>
      </w:pPr>
    </w:p>
    <w:p w14:paraId="6920B455" w14:textId="77777777" w:rsidR="00BE4E7B" w:rsidRPr="001D676B" w:rsidRDefault="00BE4E7B" w:rsidP="00BE4E7B">
      <w:pPr>
        <w:outlineLvl w:val="0"/>
        <w:rPr>
          <w:b/>
          <w:sz w:val="28"/>
          <w:szCs w:val="28"/>
        </w:rPr>
      </w:pPr>
    </w:p>
    <w:p w14:paraId="26B3050F" w14:textId="77777777" w:rsidR="00BE4E7B" w:rsidRPr="00236A44" w:rsidRDefault="00BE4E7B">
      <w:pPr>
        <w:rPr>
          <w:color w:val="FF0000"/>
        </w:rPr>
      </w:pPr>
    </w:p>
    <w:p w14:paraId="3CD5E4AB" w14:textId="77777777" w:rsidR="00786415" w:rsidRPr="00236A44" w:rsidRDefault="00786415">
      <w:pPr>
        <w:rPr>
          <w:color w:val="FF0000"/>
        </w:rPr>
      </w:pPr>
    </w:p>
    <w:p w14:paraId="74B25440" w14:textId="77777777" w:rsidR="00786415" w:rsidRPr="00236A44" w:rsidRDefault="00786415">
      <w:pPr>
        <w:rPr>
          <w:color w:val="FF0000"/>
        </w:rPr>
      </w:pPr>
    </w:p>
    <w:p w14:paraId="78571D2C" w14:textId="77777777" w:rsidR="00786415" w:rsidRPr="00236A44" w:rsidRDefault="00786415">
      <w:pPr>
        <w:rPr>
          <w:color w:val="FF0000"/>
        </w:rPr>
      </w:pPr>
    </w:p>
    <w:sectPr w:rsidR="00786415" w:rsidRPr="00236A44" w:rsidSect="005614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990F" w14:textId="77777777" w:rsidR="005143DB" w:rsidRDefault="005143DB" w:rsidP="00111E6B">
      <w:pPr>
        <w:spacing w:after="0" w:line="240" w:lineRule="auto"/>
      </w:pPr>
      <w:r>
        <w:separator/>
      </w:r>
    </w:p>
  </w:endnote>
  <w:endnote w:type="continuationSeparator" w:id="0">
    <w:p w14:paraId="186A820D" w14:textId="77777777" w:rsidR="005143DB" w:rsidRDefault="005143DB" w:rsidP="0011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19E0" w14:textId="77777777" w:rsidR="00C40D09" w:rsidRDefault="00C40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235"/>
      <w:docPartObj>
        <w:docPartGallery w:val="Page Numbers (Bottom of Page)"/>
        <w:docPartUnique/>
      </w:docPartObj>
    </w:sdtPr>
    <w:sdtEndPr/>
    <w:sdtContent>
      <w:p w14:paraId="6288A466" w14:textId="77777777" w:rsidR="00EE1FB0" w:rsidRDefault="006D6263">
        <w:pPr>
          <w:pStyle w:val="Footer"/>
          <w:jc w:val="right"/>
        </w:pPr>
        <w:r>
          <w:fldChar w:fldCharType="begin"/>
        </w:r>
        <w:r>
          <w:instrText xml:space="preserve"> PAGE   \* MERGEFORMAT </w:instrText>
        </w:r>
        <w:r>
          <w:fldChar w:fldCharType="separate"/>
        </w:r>
        <w:r w:rsidR="00247F93">
          <w:rPr>
            <w:noProof/>
          </w:rPr>
          <w:t>1</w:t>
        </w:r>
        <w:r>
          <w:rPr>
            <w:noProof/>
          </w:rPr>
          <w:fldChar w:fldCharType="end"/>
        </w:r>
      </w:p>
    </w:sdtContent>
  </w:sdt>
  <w:p w14:paraId="2F17CF8C" w14:textId="77777777" w:rsidR="00EE1FB0" w:rsidRDefault="00EE1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8B21" w14:textId="77777777" w:rsidR="00C40D09" w:rsidRDefault="00C4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5DAA" w14:textId="77777777" w:rsidR="005143DB" w:rsidRDefault="005143DB" w:rsidP="00111E6B">
      <w:pPr>
        <w:spacing w:after="0" w:line="240" w:lineRule="auto"/>
      </w:pPr>
      <w:r>
        <w:separator/>
      </w:r>
    </w:p>
  </w:footnote>
  <w:footnote w:type="continuationSeparator" w:id="0">
    <w:p w14:paraId="35CAD155" w14:textId="77777777" w:rsidR="005143DB" w:rsidRDefault="005143DB" w:rsidP="0011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F2CF" w14:textId="77777777" w:rsidR="00C40D09" w:rsidRDefault="00C40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F5EC5" w14:textId="77777777" w:rsidR="00C40D09" w:rsidRDefault="00C40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4DB3" w14:textId="77777777" w:rsidR="00C40D09" w:rsidRDefault="00C40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74063"/>
    <w:multiLevelType w:val="hybridMultilevel"/>
    <w:tmpl w:val="99E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C5AEC"/>
    <w:multiLevelType w:val="hybridMultilevel"/>
    <w:tmpl w:val="2B70A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16714"/>
    <w:multiLevelType w:val="hybridMultilevel"/>
    <w:tmpl w:val="459A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02"/>
    <w:rsid w:val="00002E0B"/>
    <w:rsid w:val="000111C0"/>
    <w:rsid w:val="0001299F"/>
    <w:rsid w:val="000142E1"/>
    <w:rsid w:val="00022271"/>
    <w:rsid w:val="00033673"/>
    <w:rsid w:val="0003681E"/>
    <w:rsid w:val="0004073C"/>
    <w:rsid w:val="00040ECD"/>
    <w:rsid w:val="0004429E"/>
    <w:rsid w:val="000506A7"/>
    <w:rsid w:val="00057176"/>
    <w:rsid w:val="000767E3"/>
    <w:rsid w:val="00087393"/>
    <w:rsid w:val="00092CA2"/>
    <w:rsid w:val="000A0621"/>
    <w:rsid w:val="000A069F"/>
    <w:rsid w:val="000A44E9"/>
    <w:rsid w:val="000A7D9D"/>
    <w:rsid w:val="000A7E73"/>
    <w:rsid w:val="000B523E"/>
    <w:rsid w:val="000C21F4"/>
    <w:rsid w:val="000C4530"/>
    <w:rsid w:val="000C7903"/>
    <w:rsid w:val="000D569C"/>
    <w:rsid w:val="000D59F5"/>
    <w:rsid w:val="000D6934"/>
    <w:rsid w:val="000E1DA7"/>
    <w:rsid w:val="000E6C67"/>
    <w:rsid w:val="000F5254"/>
    <w:rsid w:val="000F609D"/>
    <w:rsid w:val="000F7280"/>
    <w:rsid w:val="00106EF7"/>
    <w:rsid w:val="00111E6B"/>
    <w:rsid w:val="00116F1E"/>
    <w:rsid w:val="00130548"/>
    <w:rsid w:val="00132C1B"/>
    <w:rsid w:val="00133988"/>
    <w:rsid w:val="001409CA"/>
    <w:rsid w:val="00146B98"/>
    <w:rsid w:val="0017052B"/>
    <w:rsid w:val="0017773A"/>
    <w:rsid w:val="001777A1"/>
    <w:rsid w:val="00192E3D"/>
    <w:rsid w:val="001A04C6"/>
    <w:rsid w:val="001A19EA"/>
    <w:rsid w:val="001A219B"/>
    <w:rsid w:val="001A6AA4"/>
    <w:rsid w:val="001B247E"/>
    <w:rsid w:val="001C6CD8"/>
    <w:rsid w:val="001D0DFE"/>
    <w:rsid w:val="001D676B"/>
    <w:rsid w:val="001E388D"/>
    <w:rsid w:val="001F41DA"/>
    <w:rsid w:val="00204708"/>
    <w:rsid w:val="002117CE"/>
    <w:rsid w:val="00231408"/>
    <w:rsid w:val="00231C01"/>
    <w:rsid w:val="0023294E"/>
    <w:rsid w:val="00236A44"/>
    <w:rsid w:val="00243F5D"/>
    <w:rsid w:val="00245DF3"/>
    <w:rsid w:val="00246752"/>
    <w:rsid w:val="00247F93"/>
    <w:rsid w:val="0025045A"/>
    <w:rsid w:val="00253856"/>
    <w:rsid w:val="00255ECF"/>
    <w:rsid w:val="002611C6"/>
    <w:rsid w:val="0026200D"/>
    <w:rsid w:val="00265933"/>
    <w:rsid w:val="00267D6D"/>
    <w:rsid w:val="00274F1B"/>
    <w:rsid w:val="00275ADA"/>
    <w:rsid w:val="00283CD9"/>
    <w:rsid w:val="0029425B"/>
    <w:rsid w:val="002960A7"/>
    <w:rsid w:val="002A1CAD"/>
    <w:rsid w:val="002A5D46"/>
    <w:rsid w:val="002C322F"/>
    <w:rsid w:val="002C798C"/>
    <w:rsid w:val="002D5EEF"/>
    <w:rsid w:val="002E1277"/>
    <w:rsid w:val="002E252F"/>
    <w:rsid w:val="002F23D9"/>
    <w:rsid w:val="002F2A6E"/>
    <w:rsid w:val="00304CA7"/>
    <w:rsid w:val="00311206"/>
    <w:rsid w:val="003119FF"/>
    <w:rsid w:val="003120F4"/>
    <w:rsid w:val="003134D1"/>
    <w:rsid w:val="0031429F"/>
    <w:rsid w:val="0032661A"/>
    <w:rsid w:val="003368EF"/>
    <w:rsid w:val="00344B3C"/>
    <w:rsid w:val="00344F12"/>
    <w:rsid w:val="00345DED"/>
    <w:rsid w:val="00352EBF"/>
    <w:rsid w:val="00356A88"/>
    <w:rsid w:val="003616D5"/>
    <w:rsid w:val="00362AEE"/>
    <w:rsid w:val="00366BFB"/>
    <w:rsid w:val="00386F00"/>
    <w:rsid w:val="00387F1F"/>
    <w:rsid w:val="00393504"/>
    <w:rsid w:val="00393780"/>
    <w:rsid w:val="00393F29"/>
    <w:rsid w:val="003A5BBE"/>
    <w:rsid w:val="003B1BB7"/>
    <w:rsid w:val="003B210B"/>
    <w:rsid w:val="003B2D0A"/>
    <w:rsid w:val="003D1BB2"/>
    <w:rsid w:val="003D3591"/>
    <w:rsid w:val="003E1664"/>
    <w:rsid w:val="00400280"/>
    <w:rsid w:val="00416DEE"/>
    <w:rsid w:val="0041708E"/>
    <w:rsid w:val="00417F1A"/>
    <w:rsid w:val="0042423A"/>
    <w:rsid w:val="0043024C"/>
    <w:rsid w:val="004318EA"/>
    <w:rsid w:val="004348DA"/>
    <w:rsid w:val="00436DBA"/>
    <w:rsid w:val="004555A8"/>
    <w:rsid w:val="004572B0"/>
    <w:rsid w:val="00457A59"/>
    <w:rsid w:val="004608F3"/>
    <w:rsid w:val="00461566"/>
    <w:rsid w:val="0046285F"/>
    <w:rsid w:val="00462989"/>
    <w:rsid w:val="0048243D"/>
    <w:rsid w:val="00486F7F"/>
    <w:rsid w:val="00491D49"/>
    <w:rsid w:val="004963D7"/>
    <w:rsid w:val="004A2D2E"/>
    <w:rsid w:val="004A41ED"/>
    <w:rsid w:val="004A7AD4"/>
    <w:rsid w:val="004B6B53"/>
    <w:rsid w:val="004C17A1"/>
    <w:rsid w:val="004C4138"/>
    <w:rsid w:val="004C458D"/>
    <w:rsid w:val="004D5793"/>
    <w:rsid w:val="004D5D73"/>
    <w:rsid w:val="004D65DB"/>
    <w:rsid w:val="004D73B4"/>
    <w:rsid w:val="004E515B"/>
    <w:rsid w:val="004E7535"/>
    <w:rsid w:val="005018D6"/>
    <w:rsid w:val="005143DB"/>
    <w:rsid w:val="005614AC"/>
    <w:rsid w:val="005650E1"/>
    <w:rsid w:val="00575522"/>
    <w:rsid w:val="0058199F"/>
    <w:rsid w:val="005826CB"/>
    <w:rsid w:val="005933C7"/>
    <w:rsid w:val="005A0394"/>
    <w:rsid w:val="005A2102"/>
    <w:rsid w:val="005A38FC"/>
    <w:rsid w:val="005A43B2"/>
    <w:rsid w:val="005B15C5"/>
    <w:rsid w:val="005B395C"/>
    <w:rsid w:val="005C0D03"/>
    <w:rsid w:val="005D4605"/>
    <w:rsid w:val="005E6878"/>
    <w:rsid w:val="005E6C32"/>
    <w:rsid w:val="005F244B"/>
    <w:rsid w:val="00606FF2"/>
    <w:rsid w:val="00616B37"/>
    <w:rsid w:val="00622FA5"/>
    <w:rsid w:val="00623078"/>
    <w:rsid w:val="0062500E"/>
    <w:rsid w:val="00625F78"/>
    <w:rsid w:val="00627760"/>
    <w:rsid w:val="006278EC"/>
    <w:rsid w:val="00642608"/>
    <w:rsid w:val="006442BB"/>
    <w:rsid w:val="006563F8"/>
    <w:rsid w:val="006660A0"/>
    <w:rsid w:val="00673150"/>
    <w:rsid w:val="00673754"/>
    <w:rsid w:val="00677A8F"/>
    <w:rsid w:val="00692B89"/>
    <w:rsid w:val="006967E3"/>
    <w:rsid w:val="006A05A1"/>
    <w:rsid w:val="006A1B6E"/>
    <w:rsid w:val="006A7431"/>
    <w:rsid w:val="006B409E"/>
    <w:rsid w:val="006B6CB9"/>
    <w:rsid w:val="006C25E4"/>
    <w:rsid w:val="006D4765"/>
    <w:rsid w:val="006D6263"/>
    <w:rsid w:val="006D6714"/>
    <w:rsid w:val="006E1D90"/>
    <w:rsid w:val="006E2AEE"/>
    <w:rsid w:val="006E4132"/>
    <w:rsid w:val="006E7609"/>
    <w:rsid w:val="006F22CE"/>
    <w:rsid w:val="006F29A4"/>
    <w:rsid w:val="006F4238"/>
    <w:rsid w:val="00704E38"/>
    <w:rsid w:val="00715F99"/>
    <w:rsid w:val="00721902"/>
    <w:rsid w:val="007244C4"/>
    <w:rsid w:val="007333A6"/>
    <w:rsid w:val="00734B14"/>
    <w:rsid w:val="007434DF"/>
    <w:rsid w:val="00745189"/>
    <w:rsid w:val="00751E1A"/>
    <w:rsid w:val="00766F90"/>
    <w:rsid w:val="007674ED"/>
    <w:rsid w:val="0077097A"/>
    <w:rsid w:val="00784B40"/>
    <w:rsid w:val="00786415"/>
    <w:rsid w:val="007946F6"/>
    <w:rsid w:val="007B0E90"/>
    <w:rsid w:val="007B7326"/>
    <w:rsid w:val="007E48BF"/>
    <w:rsid w:val="007F7CFF"/>
    <w:rsid w:val="007F7D5A"/>
    <w:rsid w:val="00802F62"/>
    <w:rsid w:val="008047D7"/>
    <w:rsid w:val="00807FB8"/>
    <w:rsid w:val="008109FA"/>
    <w:rsid w:val="00821684"/>
    <w:rsid w:val="00835A92"/>
    <w:rsid w:val="0084141F"/>
    <w:rsid w:val="00842A3C"/>
    <w:rsid w:val="00843710"/>
    <w:rsid w:val="008439CE"/>
    <w:rsid w:val="0085138D"/>
    <w:rsid w:val="008721BA"/>
    <w:rsid w:val="00877AF6"/>
    <w:rsid w:val="008A4088"/>
    <w:rsid w:val="008C321F"/>
    <w:rsid w:val="008C340E"/>
    <w:rsid w:val="008C6982"/>
    <w:rsid w:val="008C751D"/>
    <w:rsid w:val="008D0ECA"/>
    <w:rsid w:val="008E2DC9"/>
    <w:rsid w:val="008E5D1E"/>
    <w:rsid w:val="008E6554"/>
    <w:rsid w:val="008F0D02"/>
    <w:rsid w:val="00913A3F"/>
    <w:rsid w:val="00920428"/>
    <w:rsid w:val="00930DC4"/>
    <w:rsid w:val="00934584"/>
    <w:rsid w:val="0094220C"/>
    <w:rsid w:val="00944418"/>
    <w:rsid w:val="00950511"/>
    <w:rsid w:val="00965226"/>
    <w:rsid w:val="00973278"/>
    <w:rsid w:val="00975862"/>
    <w:rsid w:val="00984F83"/>
    <w:rsid w:val="00984FAB"/>
    <w:rsid w:val="009A405A"/>
    <w:rsid w:val="009A423F"/>
    <w:rsid w:val="009B1561"/>
    <w:rsid w:val="009C0CF7"/>
    <w:rsid w:val="009C4512"/>
    <w:rsid w:val="009C4B2E"/>
    <w:rsid w:val="009C4C74"/>
    <w:rsid w:val="009C5087"/>
    <w:rsid w:val="009C636B"/>
    <w:rsid w:val="009D010A"/>
    <w:rsid w:val="009D3223"/>
    <w:rsid w:val="009E3A61"/>
    <w:rsid w:val="00A01193"/>
    <w:rsid w:val="00A113E3"/>
    <w:rsid w:val="00A206E7"/>
    <w:rsid w:val="00A24C24"/>
    <w:rsid w:val="00A25C3D"/>
    <w:rsid w:val="00A3112B"/>
    <w:rsid w:val="00A36F7B"/>
    <w:rsid w:val="00A50BDE"/>
    <w:rsid w:val="00A512A0"/>
    <w:rsid w:val="00A56A37"/>
    <w:rsid w:val="00A65261"/>
    <w:rsid w:val="00A702FA"/>
    <w:rsid w:val="00A81EBA"/>
    <w:rsid w:val="00A8373E"/>
    <w:rsid w:val="00A844DD"/>
    <w:rsid w:val="00AA1B37"/>
    <w:rsid w:val="00AB7352"/>
    <w:rsid w:val="00AD68F2"/>
    <w:rsid w:val="00AE1F57"/>
    <w:rsid w:val="00AE635F"/>
    <w:rsid w:val="00AF7CE2"/>
    <w:rsid w:val="00B12090"/>
    <w:rsid w:val="00B123E6"/>
    <w:rsid w:val="00B138FD"/>
    <w:rsid w:val="00B13D4A"/>
    <w:rsid w:val="00B258F0"/>
    <w:rsid w:val="00B32F00"/>
    <w:rsid w:val="00B36AB9"/>
    <w:rsid w:val="00B37221"/>
    <w:rsid w:val="00B37CAD"/>
    <w:rsid w:val="00B44494"/>
    <w:rsid w:val="00B46A70"/>
    <w:rsid w:val="00B63D1E"/>
    <w:rsid w:val="00B75B7E"/>
    <w:rsid w:val="00B76757"/>
    <w:rsid w:val="00B80144"/>
    <w:rsid w:val="00B84224"/>
    <w:rsid w:val="00B86A29"/>
    <w:rsid w:val="00B86DAD"/>
    <w:rsid w:val="00B9304F"/>
    <w:rsid w:val="00BB1419"/>
    <w:rsid w:val="00BB3A3E"/>
    <w:rsid w:val="00BD0EBD"/>
    <w:rsid w:val="00BD4B3B"/>
    <w:rsid w:val="00BD5896"/>
    <w:rsid w:val="00BD7F9D"/>
    <w:rsid w:val="00BE4E7B"/>
    <w:rsid w:val="00C03843"/>
    <w:rsid w:val="00C07959"/>
    <w:rsid w:val="00C12CC0"/>
    <w:rsid w:val="00C21BD3"/>
    <w:rsid w:val="00C24454"/>
    <w:rsid w:val="00C261D0"/>
    <w:rsid w:val="00C27F3D"/>
    <w:rsid w:val="00C30749"/>
    <w:rsid w:val="00C40D09"/>
    <w:rsid w:val="00C62FFE"/>
    <w:rsid w:val="00C70A3D"/>
    <w:rsid w:val="00C829B4"/>
    <w:rsid w:val="00C92D94"/>
    <w:rsid w:val="00CA000B"/>
    <w:rsid w:val="00CC1E76"/>
    <w:rsid w:val="00CE2BF9"/>
    <w:rsid w:val="00CE35CD"/>
    <w:rsid w:val="00CE53AD"/>
    <w:rsid w:val="00CF62B6"/>
    <w:rsid w:val="00D00338"/>
    <w:rsid w:val="00D15633"/>
    <w:rsid w:val="00D20889"/>
    <w:rsid w:val="00D21130"/>
    <w:rsid w:val="00D25653"/>
    <w:rsid w:val="00D2599E"/>
    <w:rsid w:val="00D4186A"/>
    <w:rsid w:val="00D50B89"/>
    <w:rsid w:val="00D61216"/>
    <w:rsid w:val="00D61F48"/>
    <w:rsid w:val="00D63030"/>
    <w:rsid w:val="00D81935"/>
    <w:rsid w:val="00D84CD2"/>
    <w:rsid w:val="00D85DDF"/>
    <w:rsid w:val="00D903A7"/>
    <w:rsid w:val="00D91E3B"/>
    <w:rsid w:val="00D92E97"/>
    <w:rsid w:val="00D96670"/>
    <w:rsid w:val="00DA5325"/>
    <w:rsid w:val="00DA6771"/>
    <w:rsid w:val="00DA7161"/>
    <w:rsid w:val="00DB69A5"/>
    <w:rsid w:val="00DD3142"/>
    <w:rsid w:val="00DD7BC6"/>
    <w:rsid w:val="00DF1A0F"/>
    <w:rsid w:val="00DF3F8F"/>
    <w:rsid w:val="00DF4854"/>
    <w:rsid w:val="00DF538B"/>
    <w:rsid w:val="00DF6BE5"/>
    <w:rsid w:val="00E00351"/>
    <w:rsid w:val="00E12239"/>
    <w:rsid w:val="00E1290F"/>
    <w:rsid w:val="00E205E7"/>
    <w:rsid w:val="00E211AE"/>
    <w:rsid w:val="00E253AE"/>
    <w:rsid w:val="00E25F97"/>
    <w:rsid w:val="00E315F3"/>
    <w:rsid w:val="00E37D0B"/>
    <w:rsid w:val="00E438BD"/>
    <w:rsid w:val="00E45435"/>
    <w:rsid w:val="00E47CB6"/>
    <w:rsid w:val="00E51782"/>
    <w:rsid w:val="00E55F87"/>
    <w:rsid w:val="00E56EED"/>
    <w:rsid w:val="00E62249"/>
    <w:rsid w:val="00E84FC6"/>
    <w:rsid w:val="00E870B6"/>
    <w:rsid w:val="00E87864"/>
    <w:rsid w:val="00E90ED1"/>
    <w:rsid w:val="00EA10F4"/>
    <w:rsid w:val="00EA3F1E"/>
    <w:rsid w:val="00EA7141"/>
    <w:rsid w:val="00EB5459"/>
    <w:rsid w:val="00EB7F39"/>
    <w:rsid w:val="00EC5F09"/>
    <w:rsid w:val="00EC79B1"/>
    <w:rsid w:val="00ED0493"/>
    <w:rsid w:val="00ED4BA4"/>
    <w:rsid w:val="00ED7E28"/>
    <w:rsid w:val="00EE1FB0"/>
    <w:rsid w:val="00EE3C2F"/>
    <w:rsid w:val="00EE3D73"/>
    <w:rsid w:val="00EF0287"/>
    <w:rsid w:val="00EF1B80"/>
    <w:rsid w:val="00EF74B6"/>
    <w:rsid w:val="00EF7B08"/>
    <w:rsid w:val="00F03C5E"/>
    <w:rsid w:val="00F2185B"/>
    <w:rsid w:val="00F21E46"/>
    <w:rsid w:val="00F317BA"/>
    <w:rsid w:val="00F36829"/>
    <w:rsid w:val="00F36D71"/>
    <w:rsid w:val="00F415F5"/>
    <w:rsid w:val="00F41E00"/>
    <w:rsid w:val="00F42D25"/>
    <w:rsid w:val="00F45714"/>
    <w:rsid w:val="00F507EA"/>
    <w:rsid w:val="00F5222B"/>
    <w:rsid w:val="00F540DF"/>
    <w:rsid w:val="00F55683"/>
    <w:rsid w:val="00F76A56"/>
    <w:rsid w:val="00F76ED6"/>
    <w:rsid w:val="00F91D05"/>
    <w:rsid w:val="00F96D31"/>
    <w:rsid w:val="00FA2B98"/>
    <w:rsid w:val="00FD078A"/>
    <w:rsid w:val="00FE3243"/>
    <w:rsid w:val="00F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984E"/>
  <w15:docId w15:val="{B8F4A36F-A2C6-4DA4-B06F-2EA24E41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02"/>
    <w:rPr>
      <w:rFonts w:ascii="Tahoma" w:hAnsi="Tahoma" w:cs="Tahoma"/>
      <w:sz w:val="16"/>
      <w:szCs w:val="16"/>
    </w:rPr>
  </w:style>
  <w:style w:type="paragraph" w:styleId="ListParagraph">
    <w:name w:val="List Paragraph"/>
    <w:basedOn w:val="Normal"/>
    <w:uiPriority w:val="34"/>
    <w:qFormat/>
    <w:rsid w:val="00344B3C"/>
    <w:pPr>
      <w:ind w:left="720"/>
      <w:contextualSpacing/>
    </w:pPr>
  </w:style>
  <w:style w:type="character" w:styleId="CommentReference">
    <w:name w:val="annotation reference"/>
    <w:basedOn w:val="DefaultParagraphFont"/>
    <w:uiPriority w:val="99"/>
    <w:semiHidden/>
    <w:unhideWhenUsed/>
    <w:rsid w:val="00CA000B"/>
    <w:rPr>
      <w:sz w:val="16"/>
      <w:szCs w:val="16"/>
    </w:rPr>
  </w:style>
  <w:style w:type="paragraph" w:styleId="CommentText">
    <w:name w:val="annotation text"/>
    <w:basedOn w:val="Normal"/>
    <w:link w:val="CommentTextChar"/>
    <w:uiPriority w:val="99"/>
    <w:semiHidden/>
    <w:unhideWhenUsed/>
    <w:rsid w:val="00CA000B"/>
    <w:pPr>
      <w:spacing w:line="240" w:lineRule="auto"/>
    </w:pPr>
    <w:rPr>
      <w:sz w:val="20"/>
      <w:szCs w:val="20"/>
    </w:rPr>
  </w:style>
  <w:style w:type="character" w:customStyle="1" w:styleId="CommentTextChar">
    <w:name w:val="Comment Text Char"/>
    <w:basedOn w:val="DefaultParagraphFont"/>
    <w:link w:val="CommentText"/>
    <w:uiPriority w:val="99"/>
    <w:semiHidden/>
    <w:rsid w:val="00CA000B"/>
    <w:rPr>
      <w:sz w:val="20"/>
      <w:szCs w:val="20"/>
    </w:rPr>
  </w:style>
  <w:style w:type="paragraph" w:styleId="CommentSubject">
    <w:name w:val="annotation subject"/>
    <w:basedOn w:val="CommentText"/>
    <w:next w:val="CommentText"/>
    <w:link w:val="CommentSubjectChar"/>
    <w:uiPriority w:val="99"/>
    <w:semiHidden/>
    <w:unhideWhenUsed/>
    <w:rsid w:val="00CA000B"/>
    <w:rPr>
      <w:b/>
      <w:bCs/>
    </w:rPr>
  </w:style>
  <w:style w:type="character" w:customStyle="1" w:styleId="CommentSubjectChar">
    <w:name w:val="Comment Subject Char"/>
    <w:basedOn w:val="CommentTextChar"/>
    <w:link w:val="CommentSubject"/>
    <w:uiPriority w:val="99"/>
    <w:semiHidden/>
    <w:rsid w:val="00CA000B"/>
    <w:rPr>
      <w:b/>
      <w:bCs/>
      <w:sz w:val="20"/>
      <w:szCs w:val="20"/>
    </w:rPr>
  </w:style>
  <w:style w:type="character" w:styleId="Hyperlink">
    <w:name w:val="Hyperlink"/>
    <w:basedOn w:val="DefaultParagraphFont"/>
    <w:uiPriority w:val="99"/>
    <w:unhideWhenUsed/>
    <w:rsid w:val="00B12090"/>
    <w:rPr>
      <w:color w:val="0000FF" w:themeColor="hyperlink"/>
      <w:u w:val="single"/>
    </w:rPr>
  </w:style>
  <w:style w:type="paragraph" w:styleId="Revision">
    <w:name w:val="Revision"/>
    <w:hidden/>
    <w:uiPriority w:val="99"/>
    <w:semiHidden/>
    <w:rsid w:val="00CF62B6"/>
    <w:pPr>
      <w:spacing w:after="0" w:line="240" w:lineRule="auto"/>
    </w:pPr>
  </w:style>
  <w:style w:type="paragraph" w:styleId="Header">
    <w:name w:val="header"/>
    <w:basedOn w:val="Normal"/>
    <w:link w:val="HeaderChar"/>
    <w:uiPriority w:val="99"/>
    <w:unhideWhenUsed/>
    <w:rsid w:val="0011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6B"/>
  </w:style>
  <w:style w:type="paragraph" w:styleId="Footer">
    <w:name w:val="footer"/>
    <w:basedOn w:val="Normal"/>
    <w:link w:val="FooterChar"/>
    <w:uiPriority w:val="99"/>
    <w:unhideWhenUsed/>
    <w:rsid w:val="0011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6B"/>
  </w:style>
  <w:style w:type="character" w:styleId="FollowedHyperlink">
    <w:name w:val="FollowedHyperlink"/>
    <w:basedOn w:val="DefaultParagraphFont"/>
    <w:uiPriority w:val="99"/>
    <w:semiHidden/>
    <w:unhideWhenUsed/>
    <w:rsid w:val="00362AEE"/>
    <w:rPr>
      <w:color w:val="800080" w:themeColor="followedHyperlink"/>
      <w:u w:val="single"/>
    </w:rPr>
  </w:style>
  <w:style w:type="paragraph" w:styleId="DocumentMap">
    <w:name w:val="Document Map"/>
    <w:basedOn w:val="Normal"/>
    <w:link w:val="DocumentMapChar"/>
    <w:uiPriority w:val="99"/>
    <w:semiHidden/>
    <w:unhideWhenUsed/>
    <w:rsid w:val="002F2A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2A6E"/>
    <w:rPr>
      <w:rFonts w:ascii="Tahoma" w:hAnsi="Tahoma" w:cs="Tahoma"/>
      <w:sz w:val="16"/>
      <w:szCs w:val="16"/>
    </w:rPr>
  </w:style>
  <w:style w:type="table" w:styleId="TableGrid">
    <w:name w:val="Table Grid"/>
    <w:basedOn w:val="TableNormal"/>
    <w:uiPriority w:val="59"/>
    <w:rsid w:val="006B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290F"/>
    <w:pPr>
      <w:spacing w:after="0" w:line="240" w:lineRule="auto"/>
    </w:pPr>
  </w:style>
  <w:style w:type="character" w:customStyle="1" w:styleId="Mention">
    <w:name w:val="Mention"/>
    <w:basedOn w:val="DefaultParagraphFont"/>
    <w:uiPriority w:val="99"/>
    <w:semiHidden/>
    <w:unhideWhenUsed/>
    <w:rsid w:val="00EF1B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70195">
      <w:bodyDiv w:val="1"/>
      <w:marLeft w:val="0"/>
      <w:marRight w:val="0"/>
      <w:marTop w:val="0"/>
      <w:marBottom w:val="0"/>
      <w:divBdr>
        <w:top w:val="none" w:sz="0" w:space="0" w:color="auto"/>
        <w:left w:val="none" w:sz="0" w:space="0" w:color="auto"/>
        <w:bottom w:val="none" w:sz="0" w:space="0" w:color="auto"/>
        <w:right w:val="none" w:sz="0" w:space="0" w:color="auto"/>
      </w:divBdr>
      <w:divsChild>
        <w:div w:id="222526995">
          <w:marLeft w:val="0"/>
          <w:marRight w:val="0"/>
          <w:marTop w:val="0"/>
          <w:marBottom w:val="0"/>
          <w:divBdr>
            <w:top w:val="none" w:sz="0" w:space="0" w:color="auto"/>
            <w:left w:val="none" w:sz="0" w:space="0" w:color="auto"/>
            <w:bottom w:val="none" w:sz="0" w:space="0" w:color="auto"/>
            <w:right w:val="none" w:sz="0" w:space="0" w:color="auto"/>
          </w:divBdr>
          <w:divsChild>
            <w:div w:id="1510295537">
              <w:marLeft w:val="0"/>
              <w:marRight w:val="0"/>
              <w:marTop w:val="0"/>
              <w:marBottom w:val="0"/>
              <w:divBdr>
                <w:top w:val="none" w:sz="0" w:space="0" w:color="auto"/>
                <w:left w:val="none" w:sz="0" w:space="0" w:color="auto"/>
                <w:bottom w:val="none" w:sz="0" w:space="0" w:color="auto"/>
                <w:right w:val="none" w:sz="0" w:space="0" w:color="auto"/>
              </w:divBdr>
              <w:divsChild>
                <w:div w:id="73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www.cdhjournal.org/article/575-the-caries-experience-of-5-year-old-children-in-scotland-in-2013-2014-and-in-england-and-wales-in-2014-2015-reports-of-cross-sectional-dental-surveys-using-bascd-criteria" TargetMode="External"/><Relationship Id="rId26" Type="http://schemas.openxmlformats.org/officeDocument/2006/relationships/image" Target="media/image14.png"/><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hyperlink" Target="http://www.cardiff.ac.uk/dentl/research/themes/appliedclinicalresearch/epidemiology/oralhealth/index.html" TargetMode="External"/><Relationship Id="rId34" Type="http://schemas.openxmlformats.org/officeDocument/2006/relationships/header" Target="header2.xml"/><Relationship Id="rId42"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nwph.net/dentalhealth/" TargetMode="External"/><Relationship Id="rId29" Type="http://schemas.openxmlformats.org/officeDocument/2006/relationships/image" Target="media/image17.png"/><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3.xml"/><Relationship Id="rId40"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ndip.scottishdental.org/ndip-reports/" TargetMode="External"/><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diff.ac.uk/dentl/research/themes/appliedclinicalresearch/epidemiology/oralhealth/index.html" TargetMode="External"/><Relationship Id="rId14" Type="http://schemas.openxmlformats.org/officeDocument/2006/relationships/image" Target="media/image6.pn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D3DB-2860-45C1-9F98-3C13A52E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DDF6C03A</Template>
  <TotalTime>0</TotalTime>
  <Pages>20</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Maria Morgan</cp:lastModifiedBy>
  <cp:revision>2</cp:revision>
  <cp:lastPrinted>2017-05-24T13:54:00Z</cp:lastPrinted>
  <dcterms:created xsi:type="dcterms:W3CDTF">2017-06-27T08:10:00Z</dcterms:created>
  <dcterms:modified xsi:type="dcterms:W3CDTF">2017-06-27T08:10:00Z</dcterms:modified>
</cp:coreProperties>
</file>