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703C7" w14:textId="22B4EE14" w:rsidR="00E25D4D" w:rsidRPr="002B1E7C" w:rsidRDefault="00BA64B7" w:rsidP="00E25D4D">
      <w:pPr>
        <w:tabs>
          <w:tab w:val="center" w:pos="4513"/>
          <w:tab w:val="right" w:pos="9026"/>
        </w:tabs>
        <w:spacing w:after="160" w:line="259" w:lineRule="auto"/>
        <w:jc w:val="center"/>
        <w:rPr>
          <w:rFonts w:asciiTheme="minorHAnsi" w:eastAsiaTheme="minorHAnsi" w:hAnsiTheme="minorHAnsi" w:cstheme="minorBidi"/>
          <w:b/>
          <w:sz w:val="28"/>
          <w:szCs w:val="22"/>
          <w:lang w:eastAsia="en-US"/>
        </w:rPr>
      </w:pPr>
      <w:r w:rsidRPr="002B1E7C">
        <w:rPr>
          <w:rFonts w:asciiTheme="minorHAnsi" w:eastAsiaTheme="minorHAnsi" w:hAnsiTheme="minorHAnsi" w:cstheme="minorBidi"/>
          <w:b/>
          <w:sz w:val="28"/>
          <w:szCs w:val="22"/>
          <w:lang w:eastAsia="en-US"/>
        </w:rPr>
        <w:t>Cardiff University Widening Participation S</w:t>
      </w:r>
      <w:r w:rsidR="00E25D4D" w:rsidRPr="002B1E7C">
        <w:rPr>
          <w:rFonts w:asciiTheme="minorHAnsi" w:eastAsiaTheme="minorHAnsi" w:hAnsiTheme="minorHAnsi" w:cstheme="minorBidi"/>
          <w:b/>
          <w:sz w:val="28"/>
          <w:szCs w:val="22"/>
          <w:lang w:eastAsia="en-US"/>
        </w:rPr>
        <w:t>trategy</w:t>
      </w:r>
      <w:r w:rsidR="002B1E7C" w:rsidRPr="002B1E7C">
        <w:rPr>
          <w:rFonts w:asciiTheme="minorHAnsi" w:eastAsiaTheme="minorHAnsi" w:hAnsiTheme="minorHAnsi" w:cstheme="minorBidi"/>
          <w:b/>
          <w:sz w:val="28"/>
          <w:szCs w:val="22"/>
          <w:lang w:eastAsia="en-US"/>
        </w:rPr>
        <w:t>: Development of the strategy</w:t>
      </w:r>
    </w:p>
    <w:p w14:paraId="5DC1BBB1" w14:textId="77777777" w:rsidR="00E15400" w:rsidRPr="002617CF" w:rsidRDefault="00E15400" w:rsidP="00E25D4D">
      <w:pPr>
        <w:tabs>
          <w:tab w:val="center" w:pos="4513"/>
          <w:tab w:val="right" w:pos="9026"/>
        </w:tabs>
        <w:spacing w:after="160" w:line="259" w:lineRule="auto"/>
        <w:jc w:val="center"/>
        <w:rPr>
          <w:rFonts w:asciiTheme="minorHAnsi" w:eastAsiaTheme="minorHAnsi" w:hAnsiTheme="minorHAnsi" w:cstheme="minorBidi"/>
          <w:b/>
          <w:szCs w:val="22"/>
          <w:lang w:eastAsia="en-US"/>
        </w:rPr>
      </w:pPr>
    </w:p>
    <w:p w14:paraId="7AD89785" w14:textId="77777777" w:rsidR="00E25D4D" w:rsidRPr="002617CF" w:rsidRDefault="00E25D4D" w:rsidP="00E25D4D">
      <w:pPr>
        <w:numPr>
          <w:ilvl w:val="0"/>
          <w:numId w:val="2"/>
        </w:numPr>
        <w:spacing w:after="160" w:line="259" w:lineRule="auto"/>
        <w:contextualSpacing/>
        <w:rPr>
          <w:rFonts w:asciiTheme="minorHAnsi" w:eastAsiaTheme="minorHAnsi" w:hAnsiTheme="minorHAnsi" w:cstheme="minorBidi"/>
          <w:b/>
          <w:sz w:val="22"/>
          <w:szCs w:val="22"/>
          <w:lang w:eastAsia="en-US"/>
        </w:rPr>
      </w:pPr>
      <w:r w:rsidRPr="002617CF">
        <w:rPr>
          <w:rFonts w:asciiTheme="minorHAnsi" w:eastAsiaTheme="minorHAnsi" w:hAnsiTheme="minorHAnsi" w:cstheme="minorBidi"/>
          <w:b/>
          <w:sz w:val="22"/>
          <w:szCs w:val="22"/>
          <w:lang w:eastAsia="en-US"/>
        </w:rPr>
        <w:t>Purpose of the WP strategy</w:t>
      </w:r>
    </w:p>
    <w:p w14:paraId="6239CC4A" w14:textId="77777777" w:rsidR="00D81E8C" w:rsidRPr="002617CF" w:rsidRDefault="00D81E8C" w:rsidP="00D81E8C">
      <w:pPr>
        <w:spacing w:after="160" w:line="259" w:lineRule="auto"/>
        <w:ind w:left="720"/>
        <w:contextualSpacing/>
        <w:rPr>
          <w:rFonts w:asciiTheme="minorHAnsi" w:eastAsiaTheme="minorHAnsi" w:hAnsiTheme="minorHAnsi" w:cstheme="minorBidi"/>
          <w:b/>
          <w:sz w:val="22"/>
          <w:szCs w:val="22"/>
          <w:lang w:eastAsia="en-US"/>
        </w:rPr>
      </w:pPr>
    </w:p>
    <w:p w14:paraId="5E5F2034" w14:textId="03189919" w:rsidR="00E25D4D" w:rsidRPr="002617CF" w:rsidRDefault="00E25D4D" w:rsidP="00E25D4D">
      <w:pPr>
        <w:spacing w:after="160" w:line="259" w:lineRule="auto"/>
        <w:rPr>
          <w:rFonts w:asciiTheme="minorHAnsi" w:eastAsiaTheme="minorHAnsi" w:hAnsiTheme="minorHAnsi" w:cstheme="minorBidi"/>
          <w:sz w:val="22"/>
          <w:szCs w:val="22"/>
          <w:lang w:eastAsia="en-US"/>
        </w:rPr>
      </w:pPr>
      <w:r w:rsidRPr="002617CF">
        <w:rPr>
          <w:rFonts w:asciiTheme="minorHAnsi" w:eastAsiaTheme="minorHAnsi" w:hAnsiTheme="minorHAnsi" w:cstheme="minorBidi"/>
          <w:sz w:val="22"/>
          <w:szCs w:val="22"/>
          <w:lang w:eastAsia="en-US"/>
        </w:rPr>
        <w:t>The University’s Widening Participation (WP) strategy sets out our strategic ambitions for widening participation across the following areas: aspiration raising; fair recruitment and admissions; support for students from under-represented or vulnerable groups</w:t>
      </w:r>
      <w:proofErr w:type="gramStart"/>
      <w:r w:rsidRPr="002617CF">
        <w:rPr>
          <w:rFonts w:asciiTheme="minorHAnsi" w:eastAsiaTheme="minorHAnsi" w:hAnsiTheme="minorHAnsi" w:cstheme="minorBidi"/>
          <w:sz w:val="22"/>
          <w:szCs w:val="22"/>
          <w:lang w:eastAsia="en-US"/>
        </w:rPr>
        <w:t>;</w:t>
      </w:r>
      <w:proofErr w:type="gramEnd"/>
      <w:r w:rsidRPr="002617CF">
        <w:rPr>
          <w:rFonts w:asciiTheme="minorHAnsi" w:eastAsiaTheme="minorHAnsi" w:hAnsiTheme="minorHAnsi" w:cstheme="minorBidi"/>
          <w:sz w:val="22"/>
          <w:szCs w:val="22"/>
          <w:lang w:eastAsia="en-US"/>
        </w:rPr>
        <w:t xml:space="preserve"> and evaluation and monitoring. The draft strategy </w:t>
      </w:r>
      <w:proofErr w:type="gramStart"/>
      <w:r w:rsidRPr="002617CF">
        <w:rPr>
          <w:rFonts w:asciiTheme="minorHAnsi" w:eastAsiaTheme="minorHAnsi" w:hAnsiTheme="minorHAnsi" w:cstheme="minorBidi"/>
          <w:sz w:val="22"/>
          <w:szCs w:val="22"/>
          <w:lang w:eastAsia="en-US"/>
        </w:rPr>
        <w:t>is attached</w:t>
      </w:r>
      <w:proofErr w:type="gramEnd"/>
      <w:r w:rsidRPr="002617CF">
        <w:rPr>
          <w:rFonts w:asciiTheme="minorHAnsi" w:eastAsiaTheme="minorHAnsi" w:hAnsiTheme="minorHAnsi" w:cstheme="minorBidi"/>
          <w:sz w:val="22"/>
          <w:szCs w:val="22"/>
          <w:lang w:eastAsia="en-US"/>
        </w:rPr>
        <w:t xml:space="preserve"> at Annex A. This version of the strategy includes the measures that </w:t>
      </w:r>
      <w:proofErr w:type="gramStart"/>
      <w:r w:rsidRPr="002617CF">
        <w:rPr>
          <w:rFonts w:asciiTheme="minorHAnsi" w:eastAsiaTheme="minorHAnsi" w:hAnsiTheme="minorHAnsi" w:cstheme="minorBidi"/>
          <w:sz w:val="22"/>
          <w:szCs w:val="22"/>
          <w:lang w:eastAsia="en-US"/>
        </w:rPr>
        <w:t>will be used</w:t>
      </w:r>
      <w:proofErr w:type="gramEnd"/>
      <w:r w:rsidRPr="002617CF">
        <w:rPr>
          <w:rFonts w:asciiTheme="minorHAnsi" w:eastAsiaTheme="minorHAnsi" w:hAnsiTheme="minorHAnsi" w:cstheme="minorBidi"/>
          <w:sz w:val="22"/>
          <w:szCs w:val="22"/>
          <w:lang w:eastAsia="en-US"/>
        </w:rPr>
        <w:t xml:space="preserve"> to measure our success. The </w:t>
      </w:r>
      <w:proofErr w:type="gramStart"/>
      <w:r w:rsidRPr="002617CF">
        <w:rPr>
          <w:rFonts w:asciiTheme="minorHAnsi" w:eastAsiaTheme="minorHAnsi" w:hAnsiTheme="minorHAnsi" w:cstheme="minorBidi"/>
          <w:sz w:val="22"/>
          <w:szCs w:val="22"/>
          <w:lang w:eastAsia="en-US"/>
        </w:rPr>
        <w:t>measures which</w:t>
      </w:r>
      <w:proofErr w:type="gramEnd"/>
      <w:r w:rsidRPr="002617CF">
        <w:rPr>
          <w:rFonts w:asciiTheme="minorHAnsi" w:eastAsiaTheme="minorHAnsi" w:hAnsiTheme="minorHAnsi" w:cstheme="minorBidi"/>
          <w:sz w:val="22"/>
          <w:szCs w:val="22"/>
          <w:lang w:eastAsia="en-US"/>
        </w:rPr>
        <w:t xml:space="preserve"> relate to the Strategic Equality plan (measures f-h) </w:t>
      </w:r>
      <w:r w:rsidR="00AC6306">
        <w:rPr>
          <w:rFonts w:asciiTheme="minorHAnsi" w:eastAsiaTheme="minorHAnsi" w:hAnsiTheme="minorHAnsi" w:cstheme="minorBidi"/>
          <w:sz w:val="22"/>
          <w:szCs w:val="22"/>
          <w:lang w:eastAsia="en-US"/>
        </w:rPr>
        <w:t xml:space="preserve">were agreed by </w:t>
      </w:r>
      <w:r w:rsidRPr="002617CF">
        <w:rPr>
          <w:rFonts w:asciiTheme="minorHAnsi" w:eastAsiaTheme="minorHAnsi" w:hAnsiTheme="minorHAnsi" w:cstheme="minorBidi"/>
          <w:sz w:val="22"/>
          <w:szCs w:val="22"/>
          <w:lang w:eastAsia="en-US"/>
        </w:rPr>
        <w:t>the Equality and Diversity Committee on 20</w:t>
      </w:r>
      <w:r w:rsidRPr="002617CF">
        <w:rPr>
          <w:rFonts w:asciiTheme="minorHAnsi" w:eastAsiaTheme="minorHAnsi" w:hAnsiTheme="minorHAnsi" w:cstheme="minorBidi"/>
          <w:sz w:val="22"/>
          <w:szCs w:val="22"/>
          <w:vertAlign w:val="superscript"/>
          <w:lang w:eastAsia="en-US"/>
        </w:rPr>
        <w:t>th</w:t>
      </w:r>
      <w:r w:rsidRPr="002617CF">
        <w:rPr>
          <w:rFonts w:asciiTheme="minorHAnsi" w:eastAsiaTheme="minorHAnsi" w:hAnsiTheme="minorHAnsi" w:cstheme="minorBidi"/>
          <w:sz w:val="22"/>
          <w:szCs w:val="22"/>
          <w:lang w:eastAsia="en-US"/>
        </w:rPr>
        <w:t xml:space="preserve"> April 2016. Further information on how these measures </w:t>
      </w:r>
      <w:proofErr w:type="gramStart"/>
      <w:r w:rsidRPr="002617CF">
        <w:rPr>
          <w:rFonts w:asciiTheme="minorHAnsi" w:eastAsiaTheme="minorHAnsi" w:hAnsiTheme="minorHAnsi" w:cstheme="minorBidi"/>
          <w:sz w:val="22"/>
          <w:szCs w:val="22"/>
          <w:lang w:eastAsia="en-US"/>
        </w:rPr>
        <w:t>will be used</w:t>
      </w:r>
      <w:proofErr w:type="gramEnd"/>
      <w:r w:rsidRPr="002617CF">
        <w:rPr>
          <w:rFonts w:asciiTheme="minorHAnsi" w:eastAsiaTheme="minorHAnsi" w:hAnsiTheme="minorHAnsi" w:cstheme="minorBidi"/>
          <w:sz w:val="22"/>
          <w:szCs w:val="22"/>
          <w:lang w:eastAsia="en-US"/>
        </w:rPr>
        <w:t xml:space="preserve"> and our performance to date is attached at Annex B.</w:t>
      </w:r>
    </w:p>
    <w:p w14:paraId="02634542" w14:textId="77777777" w:rsidR="00E25D4D" w:rsidRPr="002617CF" w:rsidRDefault="00E25D4D" w:rsidP="00E25D4D">
      <w:pPr>
        <w:spacing w:after="160" w:line="259" w:lineRule="auto"/>
        <w:rPr>
          <w:rFonts w:asciiTheme="minorHAnsi" w:eastAsiaTheme="minorHAnsi" w:hAnsiTheme="minorHAnsi" w:cstheme="minorBidi"/>
          <w:sz w:val="22"/>
          <w:szCs w:val="22"/>
          <w:lang w:eastAsia="en-US"/>
        </w:rPr>
      </w:pPr>
      <w:r w:rsidRPr="002617CF">
        <w:rPr>
          <w:rFonts w:asciiTheme="minorHAnsi" w:eastAsiaTheme="minorHAnsi" w:hAnsiTheme="minorHAnsi" w:cstheme="minorBidi"/>
          <w:sz w:val="22"/>
          <w:szCs w:val="22"/>
          <w:lang w:eastAsia="en-US"/>
        </w:rPr>
        <w:t>The University’s WP strategy needs to be in place in time for submission of the 2017/18 fee and access plan to Council on 23</w:t>
      </w:r>
      <w:r w:rsidRPr="002617CF">
        <w:rPr>
          <w:rFonts w:asciiTheme="minorHAnsi" w:eastAsiaTheme="minorHAnsi" w:hAnsiTheme="minorHAnsi" w:cstheme="minorBidi"/>
          <w:sz w:val="22"/>
          <w:szCs w:val="22"/>
          <w:vertAlign w:val="superscript"/>
          <w:lang w:eastAsia="en-US"/>
        </w:rPr>
        <w:t>rd</w:t>
      </w:r>
      <w:r w:rsidRPr="002617CF">
        <w:rPr>
          <w:rFonts w:asciiTheme="minorHAnsi" w:eastAsiaTheme="minorHAnsi" w:hAnsiTheme="minorHAnsi" w:cstheme="minorBidi"/>
          <w:sz w:val="22"/>
          <w:szCs w:val="22"/>
          <w:lang w:eastAsia="en-US"/>
        </w:rPr>
        <w:t xml:space="preserve"> May 2016. It is important that we gain agreement for the WP strategy because activities in the University’s 2017/18 fee and access plan</w:t>
      </w:r>
      <w:r w:rsidRPr="002617CF">
        <w:rPr>
          <w:rFonts w:asciiTheme="minorHAnsi" w:eastAsiaTheme="minorHAnsi" w:hAnsiTheme="minorHAnsi" w:cstheme="minorBidi"/>
          <w:sz w:val="22"/>
          <w:szCs w:val="22"/>
          <w:vertAlign w:val="superscript"/>
          <w:lang w:eastAsia="en-US"/>
        </w:rPr>
        <w:footnoteReference w:id="1"/>
      </w:r>
      <w:r w:rsidRPr="002617CF">
        <w:rPr>
          <w:rFonts w:asciiTheme="minorHAnsi" w:eastAsiaTheme="minorHAnsi" w:hAnsiTheme="minorHAnsi" w:cstheme="minorBidi"/>
          <w:sz w:val="22"/>
          <w:szCs w:val="22"/>
          <w:lang w:eastAsia="en-US"/>
        </w:rPr>
        <w:t xml:space="preserve"> will draw from the strategy.</w:t>
      </w:r>
    </w:p>
    <w:p w14:paraId="3564AAB3" w14:textId="77777777" w:rsidR="00E25D4D" w:rsidRPr="002617CF" w:rsidRDefault="00E25D4D" w:rsidP="00E25D4D">
      <w:pPr>
        <w:numPr>
          <w:ilvl w:val="0"/>
          <w:numId w:val="2"/>
        </w:numPr>
        <w:spacing w:after="160" w:line="259" w:lineRule="auto"/>
        <w:contextualSpacing/>
        <w:rPr>
          <w:rFonts w:asciiTheme="minorHAnsi" w:eastAsiaTheme="minorHAnsi" w:hAnsiTheme="minorHAnsi" w:cstheme="minorBidi"/>
          <w:b/>
          <w:sz w:val="22"/>
          <w:szCs w:val="22"/>
          <w:lang w:eastAsia="en-US"/>
        </w:rPr>
      </w:pPr>
      <w:r w:rsidRPr="002617CF">
        <w:rPr>
          <w:rFonts w:asciiTheme="minorHAnsi" w:eastAsiaTheme="minorHAnsi" w:hAnsiTheme="minorHAnsi" w:cstheme="minorBidi"/>
          <w:b/>
          <w:sz w:val="22"/>
          <w:szCs w:val="22"/>
          <w:lang w:eastAsia="en-US"/>
        </w:rPr>
        <w:t>Development of the WP strategy</w:t>
      </w:r>
    </w:p>
    <w:p w14:paraId="71F577EF" w14:textId="77777777" w:rsidR="00D81E8C" w:rsidRPr="002617CF" w:rsidRDefault="00D81E8C" w:rsidP="00D81E8C">
      <w:pPr>
        <w:spacing w:after="160" w:line="259" w:lineRule="auto"/>
        <w:ind w:left="720"/>
        <w:contextualSpacing/>
        <w:rPr>
          <w:rFonts w:asciiTheme="minorHAnsi" w:eastAsiaTheme="minorHAnsi" w:hAnsiTheme="minorHAnsi" w:cstheme="minorBidi"/>
          <w:b/>
          <w:sz w:val="22"/>
          <w:szCs w:val="22"/>
          <w:lang w:eastAsia="en-US"/>
        </w:rPr>
      </w:pPr>
    </w:p>
    <w:p w14:paraId="7106F3AC" w14:textId="77777777" w:rsidR="00E25D4D" w:rsidRPr="002617CF" w:rsidRDefault="00E25D4D" w:rsidP="00E25D4D">
      <w:pPr>
        <w:spacing w:after="160" w:line="259" w:lineRule="auto"/>
        <w:rPr>
          <w:rFonts w:asciiTheme="minorHAnsi" w:eastAsiaTheme="minorHAnsi" w:hAnsiTheme="minorHAnsi" w:cstheme="minorBidi"/>
          <w:sz w:val="22"/>
          <w:szCs w:val="22"/>
          <w:lang w:eastAsia="en-US"/>
        </w:rPr>
      </w:pPr>
      <w:r w:rsidRPr="002617CF">
        <w:rPr>
          <w:rFonts w:asciiTheme="minorHAnsi" w:eastAsiaTheme="minorHAnsi" w:hAnsiTheme="minorHAnsi" w:cstheme="minorBidi"/>
          <w:sz w:val="22"/>
          <w:szCs w:val="22"/>
          <w:lang w:eastAsia="en-US"/>
        </w:rPr>
        <w:t xml:space="preserve">The </w:t>
      </w:r>
      <w:proofErr w:type="gramStart"/>
      <w:r w:rsidRPr="002617CF">
        <w:rPr>
          <w:rFonts w:asciiTheme="minorHAnsi" w:eastAsiaTheme="minorHAnsi" w:hAnsiTheme="minorHAnsi" w:cstheme="minorBidi"/>
          <w:sz w:val="22"/>
          <w:szCs w:val="22"/>
          <w:lang w:eastAsia="en-US"/>
        </w:rPr>
        <w:t>WP strategy has been developed by the Widening Participation coordinating group, chaired by the Pro Vice-Chancellor, Student Experience and Academic Standards (PVC SEAS)</w:t>
      </w:r>
      <w:proofErr w:type="gramEnd"/>
      <w:r w:rsidRPr="002617CF">
        <w:rPr>
          <w:rFonts w:asciiTheme="minorHAnsi" w:eastAsiaTheme="minorHAnsi" w:hAnsiTheme="minorHAnsi" w:cstheme="minorBidi"/>
          <w:sz w:val="22"/>
          <w:szCs w:val="22"/>
          <w:lang w:eastAsia="en-US"/>
        </w:rPr>
        <w:t xml:space="preserve">. Members of the WP coordinating group are from professional services and have responsibility in the areas of outreach, recruitment, admissions, supporting students, and monitoring and evaluating WP activity. </w:t>
      </w:r>
      <w:proofErr w:type="gramStart"/>
      <w:r w:rsidRPr="002617CF">
        <w:rPr>
          <w:rFonts w:asciiTheme="minorHAnsi" w:eastAsiaTheme="minorHAnsi" w:hAnsiTheme="minorHAnsi" w:cstheme="minorBidi"/>
          <w:sz w:val="22"/>
          <w:szCs w:val="22"/>
          <w:lang w:eastAsia="en-US"/>
        </w:rPr>
        <w:t>An earlier draft of the strategy was considered by the PVC SEAS’s Deans group</w:t>
      </w:r>
      <w:proofErr w:type="gramEnd"/>
      <w:r w:rsidRPr="002617CF">
        <w:rPr>
          <w:rFonts w:asciiTheme="minorHAnsi" w:eastAsiaTheme="minorHAnsi" w:hAnsiTheme="minorHAnsi" w:cstheme="minorBidi"/>
          <w:sz w:val="22"/>
          <w:szCs w:val="22"/>
          <w:lang w:eastAsia="en-US"/>
        </w:rPr>
        <w:t xml:space="preserve">. The admissions and recruitment group </w:t>
      </w:r>
      <w:proofErr w:type="gramStart"/>
      <w:r w:rsidRPr="002617CF">
        <w:rPr>
          <w:rFonts w:asciiTheme="minorHAnsi" w:eastAsiaTheme="minorHAnsi" w:hAnsiTheme="minorHAnsi" w:cstheme="minorBidi"/>
          <w:sz w:val="22"/>
          <w:szCs w:val="22"/>
          <w:lang w:eastAsia="en-US"/>
        </w:rPr>
        <w:t>have been consulted</w:t>
      </w:r>
      <w:proofErr w:type="gramEnd"/>
      <w:r w:rsidRPr="002617CF">
        <w:rPr>
          <w:rFonts w:asciiTheme="minorHAnsi" w:eastAsiaTheme="minorHAnsi" w:hAnsiTheme="minorHAnsi" w:cstheme="minorBidi"/>
          <w:sz w:val="22"/>
          <w:szCs w:val="22"/>
          <w:lang w:eastAsia="en-US"/>
        </w:rPr>
        <w:t>.</w:t>
      </w:r>
    </w:p>
    <w:p w14:paraId="32BF0466" w14:textId="77777777" w:rsidR="00E25D4D" w:rsidRPr="002617CF" w:rsidRDefault="00E25D4D" w:rsidP="00E25D4D">
      <w:pPr>
        <w:spacing w:after="160" w:line="259" w:lineRule="auto"/>
        <w:rPr>
          <w:rFonts w:asciiTheme="minorHAnsi" w:eastAsiaTheme="minorHAnsi" w:hAnsiTheme="minorHAnsi" w:cstheme="minorBidi"/>
          <w:sz w:val="22"/>
          <w:szCs w:val="22"/>
          <w:lang w:eastAsia="en-US"/>
        </w:rPr>
      </w:pPr>
      <w:r w:rsidRPr="002617CF">
        <w:rPr>
          <w:rFonts w:asciiTheme="minorHAnsi" w:eastAsiaTheme="minorHAnsi" w:hAnsiTheme="minorHAnsi" w:cstheme="minorBidi"/>
          <w:sz w:val="22"/>
          <w:szCs w:val="22"/>
          <w:lang w:eastAsia="en-US"/>
        </w:rPr>
        <w:t>The WP strategy sits within the University’s Education and Students Way Forward strategy. We will need to ensure that the WP strategy is aligned with the University’s refreshed Way Forward strategy from 2017/</w:t>
      </w:r>
      <w:proofErr w:type="gramStart"/>
      <w:r w:rsidRPr="002617CF">
        <w:rPr>
          <w:rFonts w:asciiTheme="minorHAnsi" w:eastAsiaTheme="minorHAnsi" w:hAnsiTheme="minorHAnsi" w:cstheme="minorBidi"/>
          <w:sz w:val="22"/>
          <w:szCs w:val="22"/>
          <w:lang w:eastAsia="en-US"/>
        </w:rPr>
        <w:t>18 which</w:t>
      </w:r>
      <w:proofErr w:type="gramEnd"/>
      <w:r w:rsidRPr="002617CF">
        <w:rPr>
          <w:rFonts w:asciiTheme="minorHAnsi" w:eastAsiaTheme="minorHAnsi" w:hAnsiTheme="minorHAnsi" w:cstheme="minorBidi"/>
          <w:sz w:val="22"/>
          <w:szCs w:val="22"/>
          <w:lang w:eastAsia="en-US"/>
        </w:rPr>
        <w:t xml:space="preserve"> is being developed and approved during 2016/17. The WP strategy also aligns with the University’s Strategic Equality Plan and will align with the developing employability strategy.</w:t>
      </w:r>
    </w:p>
    <w:p w14:paraId="65187AB8" w14:textId="77777777" w:rsidR="00E25D4D" w:rsidRPr="002617CF" w:rsidRDefault="00E25D4D" w:rsidP="00E25D4D">
      <w:pPr>
        <w:spacing w:after="160" w:line="259" w:lineRule="auto"/>
        <w:rPr>
          <w:rFonts w:asciiTheme="minorHAnsi" w:eastAsiaTheme="minorHAnsi" w:hAnsiTheme="minorHAnsi" w:cstheme="minorBidi"/>
          <w:sz w:val="22"/>
          <w:szCs w:val="22"/>
          <w:lang w:eastAsia="en-US"/>
        </w:rPr>
      </w:pPr>
      <w:r w:rsidRPr="002617CF">
        <w:rPr>
          <w:rFonts w:asciiTheme="minorHAnsi" w:eastAsiaTheme="minorHAnsi" w:hAnsiTheme="minorHAnsi" w:cstheme="minorBidi"/>
          <w:sz w:val="22"/>
          <w:szCs w:val="22"/>
          <w:lang w:eastAsia="en-US"/>
        </w:rPr>
        <w:t xml:space="preserve">To inform the groups that will be targeted as part of the WP strategy the coordinating group has reviewed evidence on progression and success of under-represented groups in </w:t>
      </w:r>
      <w:proofErr w:type="gramStart"/>
      <w:r w:rsidRPr="002617CF">
        <w:rPr>
          <w:rFonts w:asciiTheme="minorHAnsi" w:eastAsiaTheme="minorHAnsi" w:hAnsiTheme="minorHAnsi" w:cstheme="minorBidi"/>
          <w:sz w:val="22"/>
          <w:szCs w:val="22"/>
          <w:lang w:eastAsia="en-US"/>
        </w:rPr>
        <w:t>HE</w:t>
      </w:r>
      <w:proofErr w:type="gramEnd"/>
      <w:r w:rsidRPr="002617CF">
        <w:rPr>
          <w:rFonts w:asciiTheme="minorHAnsi" w:eastAsiaTheme="minorHAnsi" w:hAnsiTheme="minorHAnsi" w:cstheme="minorBidi"/>
          <w:sz w:val="22"/>
          <w:szCs w:val="22"/>
          <w:lang w:eastAsia="en-US"/>
        </w:rPr>
        <w:t xml:space="preserve">, and reviewed our performance against our previous WP targets. The group reviewed key findings from the Access to Higher Education in Wales report about the progression of Welsh-domiciled students into </w:t>
      </w:r>
      <w:proofErr w:type="gramStart"/>
      <w:r w:rsidRPr="002617CF">
        <w:rPr>
          <w:rFonts w:asciiTheme="minorHAnsi" w:eastAsiaTheme="minorHAnsi" w:hAnsiTheme="minorHAnsi" w:cstheme="minorBidi"/>
          <w:sz w:val="22"/>
          <w:szCs w:val="22"/>
          <w:lang w:eastAsia="en-US"/>
        </w:rPr>
        <w:t>HE</w:t>
      </w:r>
      <w:proofErr w:type="gramEnd"/>
      <w:r w:rsidRPr="002617CF">
        <w:rPr>
          <w:rFonts w:asciiTheme="minorHAnsi" w:eastAsiaTheme="minorHAnsi" w:hAnsiTheme="minorHAnsi" w:cstheme="minorBidi"/>
          <w:sz w:val="22"/>
          <w:szCs w:val="22"/>
          <w:lang w:eastAsia="en-US"/>
        </w:rPr>
        <w:t xml:space="preserve"> (analysis carried out by WISERD)</w:t>
      </w:r>
      <w:r w:rsidRPr="002617CF">
        <w:rPr>
          <w:rFonts w:asciiTheme="minorHAnsi" w:eastAsiaTheme="minorHAnsi" w:hAnsiTheme="minorHAnsi" w:cstheme="minorBidi"/>
          <w:sz w:val="22"/>
          <w:szCs w:val="22"/>
          <w:vertAlign w:val="superscript"/>
          <w:lang w:eastAsia="en-US"/>
        </w:rPr>
        <w:footnoteReference w:id="2"/>
      </w:r>
      <w:r w:rsidRPr="002617CF">
        <w:rPr>
          <w:rFonts w:asciiTheme="minorHAnsi" w:eastAsiaTheme="minorHAnsi" w:hAnsiTheme="minorHAnsi" w:cstheme="minorBidi"/>
          <w:sz w:val="22"/>
          <w:szCs w:val="22"/>
          <w:lang w:eastAsia="en-US"/>
        </w:rPr>
        <w:t>. It also reviewed research findings about the limitation of area-based measures for identifying disadvantage</w:t>
      </w:r>
      <w:r w:rsidRPr="002617CF">
        <w:rPr>
          <w:rFonts w:asciiTheme="minorHAnsi" w:eastAsiaTheme="minorHAnsi" w:hAnsiTheme="minorHAnsi" w:cstheme="minorBidi"/>
          <w:sz w:val="22"/>
          <w:szCs w:val="22"/>
          <w:vertAlign w:val="superscript"/>
          <w:lang w:eastAsia="en-US"/>
        </w:rPr>
        <w:footnoteReference w:id="3"/>
      </w:r>
      <w:r w:rsidRPr="002617CF">
        <w:rPr>
          <w:rFonts w:asciiTheme="minorHAnsi" w:eastAsiaTheme="minorHAnsi" w:hAnsiTheme="minorHAnsi" w:cstheme="minorBidi"/>
          <w:sz w:val="22"/>
          <w:szCs w:val="22"/>
          <w:lang w:eastAsia="en-US"/>
        </w:rPr>
        <w:t xml:space="preserve">. Finally, priority actions for the WP strategy are </w:t>
      </w:r>
      <w:r w:rsidRPr="002617CF">
        <w:rPr>
          <w:rFonts w:asciiTheme="minorHAnsi" w:eastAsiaTheme="minorHAnsi" w:hAnsiTheme="minorHAnsi" w:cstheme="minorBidi"/>
          <w:sz w:val="22"/>
          <w:szCs w:val="22"/>
          <w:lang w:eastAsia="en-US"/>
        </w:rPr>
        <w:lastRenderedPageBreak/>
        <w:t xml:space="preserve">aligned with the Strategic Equality Plan; actions for which were selected </w:t>
      </w:r>
      <w:proofErr w:type="gramStart"/>
      <w:r w:rsidRPr="002617CF">
        <w:rPr>
          <w:rFonts w:asciiTheme="minorHAnsi" w:eastAsiaTheme="minorHAnsi" w:hAnsiTheme="minorHAnsi" w:cstheme="minorBidi"/>
          <w:sz w:val="22"/>
          <w:szCs w:val="22"/>
          <w:lang w:eastAsia="en-US"/>
        </w:rPr>
        <w:t>on the basis of</w:t>
      </w:r>
      <w:proofErr w:type="gramEnd"/>
      <w:r w:rsidRPr="002617CF">
        <w:rPr>
          <w:rFonts w:asciiTheme="minorHAnsi" w:eastAsiaTheme="minorHAnsi" w:hAnsiTheme="minorHAnsi" w:cstheme="minorBidi"/>
          <w:sz w:val="22"/>
          <w:szCs w:val="22"/>
          <w:lang w:eastAsia="en-US"/>
        </w:rPr>
        <w:t xml:space="preserve"> the findings from WISERD analysis about the progression through HE and attainment of UK undergraduate students with protected characteristics at Cardiff University. Further information on this work, as well as a description of the principles underpinning our selection of target groups, and data on our performance against previous and proposed indicators </w:t>
      </w:r>
      <w:proofErr w:type="gramStart"/>
      <w:r w:rsidRPr="002617CF">
        <w:rPr>
          <w:rFonts w:asciiTheme="minorHAnsi" w:eastAsiaTheme="minorHAnsi" w:hAnsiTheme="minorHAnsi" w:cstheme="minorBidi"/>
          <w:sz w:val="22"/>
          <w:szCs w:val="22"/>
          <w:lang w:eastAsia="en-US"/>
        </w:rPr>
        <w:t>is attached</w:t>
      </w:r>
      <w:proofErr w:type="gramEnd"/>
      <w:r w:rsidRPr="002617CF">
        <w:rPr>
          <w:rFonts w:asciiTheme="minorHAnsi" w:eastAsiaTheme="minorHAnsi" w:hAnsiTheme="minorHAnsi" w:cstheme="minorBidi"/>
          <w:sz w:val="22"/>
          <w:szCs w:val="22"/>
          <w:lang w:eastAsia="en-US"/>
        </w:rPr>
        <w:t xml:space="preserve"> at Annex B.</w:t>
      </w:r>
    </w:p>
    <w:p w14:paraId="7728D17D" w14:textId="77777777" w:rsidR="00E25D4D" w:rsidRPr="002617CF" w:rsidRDefault="00E25D4D" w:rsidP="00E25D4D">
      <w:pPr>
        <w:numPr>
          <w:ilvl w:val="0"/>
          <w:numId w:val="2"/>
        </w:numPr>
        <w:spacing w:after="160" w:line="259" w:lineRule="auto"/>
        <w:contextualSpacing/>
        <w:rPr>
          <w:rFonts w:asciiTheme="minorHAnsi" w:eastAsiaTheme="minorHAnsi" w:hAnsiTheme="minorHAnsi" w:cstheme="minorBidi"/>
          <w:b/>
          <w:sz w:val="22"/>
          <w:szCs w:val="22"/>
          <w:lang w:eastAsia="en-US"/>
        </w:rPr>
      </w:pPr>
      <w:r w:rsidRPr="002617CF">
        <w:rPr>
          <w:rFonts w:asciiTheme="minorHAnsi" w:eastAsiaTheme="minorHAnsi" w:hAnsiTheme="minorHAnsi" w:cstheme="minorBidi"/>
          <w:b/>
          <w:sz w:val="22"/>
          <w:szCs w:val="22"/>
          <w:lang w:eastAsia="en-US"/>
        </w:rPr>
        <w:t>Example activities to deliver the strategy</w:t>
      </w:r>
    </w:p>
    <w:p w14:paraId="73F990C8" w14:textId="77777777" w:rsidR="00D81E8C" w:rsidRPr="002617CF" w:rsidRDefault="00D81E8C" w:rsidP="00D81E8C">
      <w:pPr>
        <w:spacing w:after="160" w:line="259" w:lineRule="auto"/>
        <w:ind w:left="720"/>
        <w:contextualSpacing/>
        <w:rPr>
          <w:rFonts w:asciiTheme="minorHAnsi" w:eastAsiaTheme="minorHAnsi" w:hAnsiTheme="minorHAnsi" w:cstheme="minorBidi"/>
          <w:b/>
          <w:sz w:val="22"/>
          <w:szCs w:val="22"/>
          <w:lang w:eastAsia="en-US"/>
        </w:rPr>
      </w:pPr>
    </w:p>
    <w:p w14:paraId="483449E8" w14:textId="77777777" w:rsidR="00E25D4D" w:rsidRPr="002617CF" w:rsidRDefault="00E25D4D" w:rsidP="00E25D4D">
      <w:pPr>
        <w:spacing w:after="160" w:line="259" w:lineRule="auto"/>
        <w:rPr>
          <w:rFonts w:asciiTheme="minorHAnsi" w:eastAsiaTheme="minorHAnsi" w:hAnsiTheme="minorHAnsi" w:cstheme="minorBidi"/>
          <w:sz w:val="22"/>
          <w:szCs w:val="22"/>
          <w:lang w:eastAsia="en-US"/>
        </w:rPr>
      </w:pPr>
      <w:r w:rsidRPr="002617CF">
        <w:rPr>
          <w:rFonts w:asciiTheme="minorHAnsi" w:eastAsiaTheme="minorHAnsi" w:hAnsiTheme="minorHAnsi" w:cstheme="minorBidi"/>
          <w:sz w:val="22"/>
          <w:szCs w:val="22"/>
          <w:lang w:eastAsia="en-US"/>
        </w:rPr>
        <w:t>We are currently putting together an implementation plan for the WP strategy, for the years 2015/16-2017/18. Major new activities include:</w:t>
      </w:r>
    </w:p>
    <w:p w14:paraId="19042FDC" w14:textId="77777777" w:rsidR="00E25D4D" w:rsidRPr="002617CF" w:rsidRDefault="00E25D4D" w:rsidP="00E25D4D">
      <w:pPr>
        <w:numPr>
          <w:ilvl w:val="0"/>
          <w:numId w:val="5"/>
        </w:numPr>
        <w:spacing w:after="160" w:line="259" w:lineRule="auto"/>
        <w:contextualSpacing/>
        <w:rPr>
          <w:rFonts w:asciiTheme="minorHAnsi" w:eastAsiaTheme="minorHAnsi" w:hAnsiTheme="minorHAnsi" w:cstheme="minorBidi"/>
          <w:sz w:val="22"/>
          <w:szCs w:val="22"/>
          <w:lang w:eastAsia="en-US"/>
        </w:rPr>
      </w:pPr>
      <w:r w:rsidRPr="002617CF">
        <w:rPr>
          <w:rFonts w:asciiTheme="minorHAnsi" w:eastAsiaTheme="minorHAnsi" w:hAnsiTheme="minorHAnsi" w:cstheme="minorBidi"/>
          <w:sz w:val="22"/>
          <w:szCs w:val="22"/>
          <w:lang w:eastAsia="en-US"/>
        </w:rPr>
        <w:t xml:space="preserve">A review of bursaries: Over the next ten </w:t>
      </w:r>
      <w:proofErr w:type="gramStart"/>
      <w:r w:rsidRPr="002617CF">
        <w:rPr>
          <w:rFonts w:asciiTheme="minorHAnsi" w:eastAsiaTheme="minorHAnsi" w:hAnsiTheme="minorHAnsi" w:cstheme="minorBidi"/>
          <w:sz w:val="22"/>
          <w:szCs w:val="22"/>
          <w:lang w:eastAsia="en-US"/>
        </w:rPr>
        <w:t>months</w:t>
      </w:r>
      <w:proofErr w:type="gramEnd"/>
      <w:r w:rsidRPr="002617CF">
        <w:rPr>
          <w:rFonts w:asciiTheme="minorHAnsi" w:eastAsiaTheme="minorHAnsi" w:hAnsiTheme="minorHAnsi" w:cstheme="minorBidi"/>
          <w:sz w:val="22"/>
          <w:szCs w:val="22"/>
          <w:lang w:eastAsia="en-US"/>
        </w:rPr>
        <w:t xml:space="preserve"> (particularly once the Welsh Government’s Diamond Review has reported) there will be a full review of the value and impact of the University’s student financial aid to ensure that actions and resources are targeted most effectively to widen participation.</w:t>
      </w:r>
    </w:p>
    <w:p w14:paraId="50ACD7F3" w14:textId="77777777" w:rsidR="00E25D4D" w:rsidRPr="002617CF" w:rsidRDefault="00E25D4D" w:rsidP="00E25D4D">
      <w:pPr>
        <w:numPr>
          <w:ilvl w:val="0"/>
          <w:numId w:val="5"/>
        </w:numPr>
        <w:spacing w:after="160" w:line="259" w:lineRule="auto"/>
        <w:contextualSpacing/>
        <w:rPr>
          <w:rFonts w:asciiTheme="minorHAnsi" w:eastAsiaTheme="minorHAnsi" w:hAnsiTheme="minorHAnsi" w:cstheme="minorBidi"/>
          <w:sz w:val="22"/>
          <w:szCs w:val="22"/>
          <w:lang w:eastAsia="en-US"/>
        </w:rPr>
      </w:pPr>
      <w:r w:rsidRPr="002617CF">
        <w:rPr>
          <w:rFonts w:asciiTheme="minorHAnsi" w:eastAsiaTheme="minorHAnsi" w:hAnsiTheme="minorHAnsi" w:cstheme="minorBidi"/>
          <w:sz w:val="22"/>
          <w:szCs w:val="22"/>
          <w:lang w:eastAsia="en-US"/>
        </w:rPr>
        <w:t>A reviewed and revised contextual admissions policy including using for the first time indicators of educational disadvantage.</w:t>
      </w:r>
    </w:p>
    <w:p w14:paraId="11E554A1" w14:textId="77777777" w:rsidR="00E25D4D" w:rsidRPr="002617CF" w:rsidRDefault="00E25D4D" w:rsidP="00E25D4D">
      <w:pPr>
        <w:numPr>
          <w:ilvl w:val="0"/>
          <w:numId w:val="5"/>
        </w:numPr>
        <w:spacing w:after="160" w:line="259" w:lineRule="auto"/>
        <w:contextualSpacing/>
        <w:rPr>
          <w:rFonts w:asciiTheme="minorHAnsi" w:eastAsiaTheme="minorHAnsi" w:hAnsiTheme="minorHAnsi" w:cstheme="minorBidi"/>
          <w:sz w:val="22"/>
          <w:szCs w:val="22"/>
          <w:lang w:eastAsia="en-US"/>
        </w:rPr>
      </w:pPr>
      <w:r w:rsidRPr="002617CF">
        <w:rPr>
          <w:rFonts w:asciiTheme="minorHAnsi" w:eastAsiaTheme="minorHAnsi" w:hAnsiTheme="minorHAnsi" w:cstheme="minorBidi"/>
          <w:sz w:val="22"/>
          <w:szCs w:val="22"/>
          <w:lang w:eastAsia="en-US"/>
        </w:rPr>
        <w:t>Targeting outreach activities using new indicators of socio-economic disadvantage (eligibility for free school meals).</w:t>
      </w:r>
    </w:p>
    <w:p w14:paraId="25EC65AE" w14:textId="77777777" w:rsidR="00E25D4D" w:rsidRPr="002617CF" w:rsidRDefault="00E25D4D" w:rsidP="00E25D4D">
      <w:pPr>
        <w:numPr>
          <w:ilvl w:val="0"/>
          <w:numId w:val="5"/>
        </w:numPr>
        <w:spacing w:after="160" w:line="259" w:lineRule="auto"/>
        <w:contextualSpacing/>
        <w:rPr>
          <w:rFonts w:asciiTheme="minorHAnsi" w:eastAsiaTheme="minorHAnsi" w:hAnsiTheme="minorHAnsi" w:cstheme="minorBidi"/>
          <w:sz w:val="22"/>
          <w:szCs w:val="22"/>
          <w:lang w:eastAsia="en-US"/>
        </w:rPr>
      </w:pPr>
      <w:r w:rsidRPr="002617CF">
        <w:rPr>
          <w:rFonts w:asciiTheme="minorHAnsi" w:eastAsiaTheme="minorHAnsi" w:hAnsiTheme="minorHAnsi" w:cstheme="minorBidi"/>
          <w:sz w:val="22"/>
          <w:szCs w:val="22"/>
          <w:lang w:eastAsia="en-US"/>
        </w:rPr>
        <w:t>Further work to improve the availability and use of data on students from our identified under-represented backgrounds, for example tracking the progression of these students through their time at Cardiff University.</w:t>
      </w:r>
    </w:p>
    <w:p w14:paraId="790578BC" w14:textId="77777777" w:rsidR="00D81E8C" w:rsidRPr="002617CF" w:rsidRDefault="00D81E8C" w:rsidP="00D81E8C">
      <w:pPr>
        <w:spacing w:after="160" w:line="259" w:lineRule="auto"/>
        <w:ind w:left="766"/>
        <w:contextualSpacing/>
        <w:rPr>
          <w:rFonts w:asciiTheme="minorHAnsi" w:eastAsiaTheme="minorHAnsi" w:hAnsiTheme="minorHAnsi" w:cstheme="minorBidi"/>
          <w:sz w:val="22"/>
          <w:szCs w:val="22"/>
          <w:lang w:eastAsia="en-US"/>
        </w:rPr>
      </w:pPr>
    </w:p>
    <w:p w14:paraId="61F5AACC" w14:textId="77777777" w:rsidR="00E25D4D" w:rsidRPr="002617CF" w:rsidRDefault="00E25D4D" w:rsidP="00E25D4D">
      <w:pPr>
        <w:spacing w:after="160" w:line="259" w:lineRule="auto"/>
        <w:rPr>
          <w:rFonts w:asciiTheme="minorHAnsi" w:eastAsiaTheme="minorHAnsi" w:hAnsiTheme="minorHAnsi" w:cstheme="minorBidi"/>
          <w:sz w:val="22"/>
          <w:szCs w:val="22"/>
          <w:lang w:eastAsia="en-US"/>
        </w:rPr>
      </w:pPr>
      <w:r w:rsidRPr="002617CF">
        <w:rPr>
          <w:rFonts w:asciiTheme="minorHAnsi" w:eastAsiaTheme="minorHAnsi" w:hAnsiTheme="minorHAnsi" w:cstheme="minorBidi"/>
          <w:sz w:val="22"/>
          <w:szCs w:val="22"/>
          <w:lang w:eastAsia="en-US"/>
        </w:rPr>
        <w:t>Continued outreach and student support activities include:</w:t>
      </w:r>
    </w:p>
    <w:p w14:paraId="28A64088" w14:textId="77777777" w:rsidR="00E25D4D" w:rsidRPr="002617CF" w:rsidRDefault="00962BFD" w:rsidP="00E25D4D">
      <w:pPr>
        <w:numPr>
          <w:ilvl w:val="0"/>
          <w:numId w:val="5"/>
        </w:numPr>
        <w:spacing w:after="160" w:line="259" w:lineRule="auto"/>
        <w:contextualSpacing/>
        <w:rPr>
          <w:rFonts w:asciiTheme="minorHAnsi" w:eastAsiaTheme="minorHAnsi" w:hAnsiTheme="minorHAnsi" w:cstheme="minorBidi"/>
          <w:sz w:val="22"/>
          <w:szCs w:val="22"/>
          <w:lang w:eastAsia="en-US"/>
        </w:rPr>
      </w:pPr>
      <w:hyperlink r:id="rId7" w:history="1">
        <w:r w:rsidR="00E25D4D" w:rsidRPr="002617CF">
          <w:rPr>
            <w:rFonts w:asciiTheme="minorHAnsi" w:eastAsiaTheme="minorHAnsi" w:hAnsiTheme="minorHAnsi" w:cstheme="minorBidi"/>
            <w:color w:val="0563C1" w:themeColor="hyperlink"/>
            <w:sz w:val="22"/>
            <w:szCs w:val="22"/>
            <w:u w:val="single"/>
            <w:lang w:eastAsia="en-US"/>
          </w:rPr>
          <w:t>Step Up to University</w:t>
        </w:r>
      </w:hyperlink>
      <w:r w:rsidR="00E25D4D" w:rsidRPr="002617CF">
        <w:rPr>
          <w:rFonts w:asciiTheme="minorHAnsi" w:eastAsiaTheme="minorHAnsi" w:hAnsiTheme="minorHAnsi" w:cstheme="minorBidi"/>
          <w:color w:val="0563C1" w:themeColor="hyperlink"/>
          <w:sz w:val="22"/>
          <w:szCs w:val="22"/>
          <w:u w:val="single"/>
          <w:lang w:eastAsia="en-US"/>
        </w:rPr>
        <w:t>,</w:t>
      </w:r>
      <w:r w:rsidR="00E25D4D" w:rsidRPr="002617CF">
        <w:rPr>
          <w:rFonts w:asciiTheme="minorHAnsi" w:eastAsiaTheme="minorHAnsi" w:hAnsiTheme="minorHAnsi" w:cstheme="minorBidi"/>
          <w:sz w:val="22"/>
          <w:szCs w:val="22"/>
          <w:lang w:eastAsia="en-US"/>
        </w:rPr>
        <w:t xml:space="preserve"> Cardiff University’s flagship outreach programme. Step </w:t>
      </w:r>
      <w:proofErr w:type="gramStart"/>
      <w:r w:rsidR="00E25D4D" w:rsidRPr="002617CF">
        <w:rPr>
          <w:rFonts w:asciiTheme="minorHAnsi" w:eastAsiaTheme="minorHAnsi" w:hAnsiTheme="minorHAnsi" w:cstheme="minorBidi"/>
          <w:sz w:val="22"/>
          <w:szCs w:val="22"/>
          <w:lang w:eastAsia="en-US"/>
        </w:rPr>
        <w:t>Up</w:t>
      </w:r>
      <w:proofErr w:type="gramEnd"/>
      <w:r w:rsidR="00E25D4D" w:rsidRPr="002617CF">
        <w:rPr>
          <w:rFonts w:asciiTheme="minorHAnsi" w:eastAsiaTheme="minorHAnsi" w:hAnsiTheme="minorHAnsi" w:cstheme="minorBidi"/>
          <w:sz w:val="22"/>
          <w:szCs w:val="22"/>
          <w:lang w:eastAsia="en-US"/>
        </w:rPr>
        <w:t xml:space="preserve"> Plus builds on the original scheme to offer a more intensive programme of support to students who have achieved 6 GCSEs including English and Maths, or have an autistic spectrum disorder, or are a care leaver.</w:t>
      </w:r>
    </w:p>
    <w:p w14:paraId="0D0674E1" w14:textId="77777777" w:rsidR="00E25D4D" w:rsidRPr="002617CF" w:rsidRDefault="00962BFD" w:rsidP="00E25D4D">
      <w:pPr>
        <w:numPr>
          <w:ilvl w:val="0"/>
          <w:numId w:val="5"/>
        </w:numPr>
        <w:spacing w:after="160" w:line="259" w:lineRule="auto"/>
        <w:contextualSpacing/>
        <w:rPr>
          <w:rFonts w:asciiTheme="minorHAnsi" w:eastAsiaTheme="minorHAnsi" w:hAnsiTheme="minorHAnsi" w:cstheme="minorBidi"/>
          <w:sz w:val="22"/>
          <w:szCs w:val="22"/>
          <w:lang w:eastAsia="en-US"/>
        </w:rPr>
      </w:pPr>
      <w:hyperlink r:id="rId8" w:history="1">
        <w:r w:rsidR="00E25D4D" w:rsidRPr="002617CF">
          <w:rPr>
            <w:rFonts w:asciiTheme="minorHAnsi" w:eastAsiaTheme="minorHAnsi" w:hAnsiTheme="minorHAnsi" w:cstheme="minorBidi"/>
            <w:color w:val="0563C1" w:themeColor="hyperlink"/>
            <w:sz w:val="22"/>
            <w:szCs w:val="22"/>
            <w:u w:val="single"/>
            <w:lang w:eastAsia="en-US"/>
          </w:rPr>
          <w:t>Confident Futures</w:t>
        </w:r>
      </w:hyperlink>
      <w:r w:rsidR="00E25D4D" w:rsidRPr="002617CF">
        <w:rPr>
          <w:rFonts w:asciiTheme="minorHAnsi" w:eastAsiaTheme="minorHAnsi" w:hAnsiTheme="minorHAnsi" w:cstheme="minorBidi"/>
          <w:sz w:val="22"/>
          <w:szCs w:val="22"/>
          <w:lang w:eastAsia="en-US"/>
        </w:rPr>
        <w:t xml:space="preserve"> and the </w:t>
      </w:r>
      <w:hyperlink r:id="rId9" w:history="1">
        <w:r w:rsidR="00E25D4D" w:rsidRPr="002617CF">
          <w:rPr>
            <w:rFonts w:asciiTheme="minorHAnsi" w:eastAsiaTheme="minorHAnsi" w:hAnsiTheme="minorHAnsi" w:cstheme="minorBidi"/>
            <w:color w:val="0563C1" w:themeColor="hyperlink"/>
            <w:sz w:val="22"/>
            <w:szCs w:val="22"/>
            <w:u w:val="single"/>
            <w:lang w:eastAsia="en-US"/>
          </w:rPr>
          <w:t>Discovery Project</w:t>
        </w:r>
      </w:hyperlink>
      <w:r w:rsidR="00E25D4D" w:rsidRPr="002617CF">
        <w:rPr>
          <w:rFonts w:asciiTheme="minorHAnsi" w:eastAsiaTheme="minorHAnsi" w:hAnsiTheme="minorHAnsi" w:cstheme="minorBidi"/>
          <w:color w:val="0563C1" w:themeColor="hyperlink"/>
          <w:sz w:val="22"/>
          <w:szCs w:val="22"/>
          <w:u w:val="single"/>
          <w:lang w:eastAsia="en-US"/>
        </w:rPr>
        <w:t>, which</w:t>
      </w:r>
      <w:r w:rsidR="00E25D4D" w:rsidRPr="002617CF">
        <w:rPr>
          <w:rFonts w:asciiTheme="minorHAnsi" w:eastAsiaTheme="minorHAnsi" w:hAnsiTheme="minorHAnsi" w:cstheme="minorBidi"/>
          <w:sz w:val="22"/>
          <w:szCs w:val="22"/>
          <w:lang w:eastAsia="en-US"/>
        </w:rPr>
        <w:t xml:space="preserve"> provide a programme of mentoring and support for children age 14-19 with a background in care and autism respectively. </w:t>
      </w:r>
      <w:proofErr w:type="gramStart"/>
      <w:r w:rsidR="00E25D4D" w:rsidRPr="002617CF">
        <w:rPr>
          <w:rFonts w:asciiTheme="minorHAnsi" w:eastAsiaTheme="minorHAnsi" w:hAnsiTheme="minorHAnsi" w:cstheme="minorBidi"/>
          <w:sz w:val="22"/>
          <w:szCs w:val="22"/>
          <w:lang w:eastAsia="en-US"/>
        </w:rPr>
        <w:t>Two day</w:t>
      </w:r>
      <w:proofErr w:type="gramEnd"/>
      <w:r w:rsidR="00E25D4D" w:rsidRPr="002617CF">
        <w:rPr>
          <w:rFonts w:asciiTheme="minorHAnsi" w:eastAsiaTheme="minorHAnsi" w:hAnsiTheme="minorHAnsi" w:cstheme="minorBidi"/>
          <w:sz w:val="22"/>
          <w:szCs w:val="22"/>
          <w:lang w:eastAsia="en-US"/>
        </w:rPr>
        <w:t xml:space="preserve"> residential summer schools are also provided for young people from these groups, funded by </w:t>
      </w:r>
      <w:hyperlink r:id="rId10" w:history="1">
        <w:r w:rsidR="00E25D4D" w:rsidRPr="002617CF">
          <w:rPr>
            <w:rFonts w:asciiTheme="minorHAnsi" w:eastAsiaTheme="minorHAnsi" w:hAnsiTheme="minorHAnsi" w:cstheme="minorBidi"/>
            <w:color w:val="0563C1" w:themeColor="hyperlink"/>
            <w:sz w:val="22"/>
            <w:szCs w:val="22"/>
            <w:u w:val="single"/>
            <w:lang w:eastAsia="en-US"/>
          </w:rPr>
          <w:t>First Campus</w:t>
        </w:r>
      </w:hyperlink>
      <w:r w:rsidR="00E25D4D" w:rsidRPr="002617CF">
        <w:rPr>
          <w:rFonts w:asciiTheme="minorHAnsi" w:eastAsiaTheme="minorHAnsi" w:hAnsiTheme="minorHAnsi" w:cstheme="minorBidi"/>
          <w:sz w:val="22"/>
          <w:szCs w:val="22"/>
          <w:lang w:eastAsia="en-US"/>
        </w:rPr>
        <w:t>.</w:t>
      </w:r>
    </w:p>
    <w:p w14:paraId="4BBE9C8D" w14:textId="77777777" w:rsidR="00E25D4D" w:rsidRPr="002617CF" w:rsidRDefault="00E25D4D" w:rsidP="00E25D4D">
      <w:pPr>
        <w:numPr>
          <w:ilvl w:val="0"/>
          <w:numId w:val="5"/>
        </w:numPr>
        <w:spacing w:after="160" w:line="259" w:lineRule="auto"/>
        <w:contextualSpacing/>
        <w:rPr>
          <w:rFonts w:asciiTheme="minorHAnsi" w:eastAsiaTheme="minorHAnsi" w:hAnsiTheme="minorHAnsi" w:cstheme="minorBidi"/>
          <w:sz w:val="22"/>
          <w:szCs w:val="22"/>
          <w:lang w:eastAsia="en-US"/>
        </w:rPr>
      </w:pPr>
      <w:r w:rsidRPr="002617CF">
        <w:rPr>
          <w:rFonts w:asciiTheme="minorHAnsi" w:eastAsiaTheme="minorHAnsi" w:hAnsiTheme="minorHAnsi" w:cstheme="minorBidi"/>
          <w:sz w:val="22"/>
          <w:szCs w:val="22"/>
          <w:lang w:eastAsia="en-US"/>
        </w:rPr>
        <w:t xml:space="preserve">The </w:t>
      </w:r>
      <w:hyperlink r:id="rId11" w:history="1">
        <w:r w:rsidRPr="002617CF">
          <w:rPr>
            <w:rFonts w:asciiTheme="minorHAnsi" w:eastAsiaTheme="minorHAnsi" w:hAnsiTheme="minorHAnsi" w:cstheme="minorBidi"/>
            <w:color w:val="0563C1" w:themeColor="hyperlink"/>
            <w:sz w:val="22"/>
            <w:szCs w:val="22"/>
            <w:u w:val="single"/>
            <w:lang w:eastAsia="en-US"/>
          </w:rPr>
          <w:t>Higher Education (HE) Roadshow</w:t>
        </w:r>
      </w:hyperlink>
      <w:r w:rsidRPr="002617CF">
        <w:rPr>
          <w:rFonts w:asciiTheme="minorHAnsi" w:eastAsiaTheme="minorHAnsi" w:hAnsiTheme="minorHAnsi" w:cstheme="minorBidi"/>
          <w:sz w:val="22"/>
          <w:szCs w:val="22"/>
          <w:lang w:eastAsia="en-US"/>
        </w:rPr>
        <w:t xml:space="preserve"> </w:t>
      </w:r>
      <w:proofErr w:type="gramStart"/>
      <w:r w:rsidRPr="002617CF">
        <w:rPr>
          <w:rFonts w:asciiTheme="minorHAnsi" w:eastAsiaTheme="minorHAnsi" w:hAnsiTheme="minorHAnsi" w:cstheme="minorBidi"/>
          <w:sz w:val="22"/>
          <w:szCs w:val="22"/>
          <w:lang w:eastAsia="en-US"/>
        </w:rPr>
        <w:t>is delivered</w:t>
      </w:r>
      <w:proofErr w:type="gramEnd"/>
      <w:r w:rsidRPr="002617CF">
        <w:rPr>
          <w:rFonts w:asciiTheme="minorHAnsi" w:eastAsiaTheme="minorHAnsi" w:hAnsiTheme="minorHAnsi" w:cstheme="minorBidi"/>
          <w:sz w:val="22"/>
          <w:szCs w:val="22"/>
          <w:lang w:eastAsia="en-US"/>
        </w:rPr>
        <w:t xml:space="preserve"> in partnership with Cardiff Met and is targeted at Challenge Cymru schools and schools with a high proportion of communities First pupils. The Roadshow delivers interactive presentations to pupils in years 9-11, reinforced by online material and ‘</w:t>
      </w:r>
      <w:proofErr w:type="spellStart"/>
      <w:r w:rsidR="00962BFD">
        <w:fldChar w:fldCharType="begin"/>
      </w:r>
      <w:r w:rsidR="00962BFD">
        <w:instrText xml:space="preserve"> HYPERLINK "http</w:instrText>
      </w:r>
      <w:r w:rsidR="00962BFD">
        <w:instrText xml:space="preserve">://www.highereducationroadshow.co.uk/event/uni-inspiration-3/" </w:instrText>
      </w:r>
      <w:r w:rsidR="00962BFD">
        <w:fldChar w:fldCharType="separate"/>
      </w:r>
      <w:r w:rsidRPr="002617CF">
        <w:rPr>
          <w:rFonts w:asciiTheme="minorHAnsi" w:eastAsiaTheme="minorHAnsi" w:hAnsiTheme="minorHAnsi" w:cstheme="minorBidi"/>
          <w:color w:val="0563C1" w:themeColor="hyperlink"/>
          <w:sz w:val="22"/>
          <w:szCs w:val="22"/>
          <w:u w:val="single"/>
          <w:lang w:eastAsia="en-US"/>
        </w:rPr>
        <w:t>Uni</w:t>
      </w:r>
      <w:proofErr w:type="spellEnd"/>
      <w:r w:rsidRPr="002617CF">
        <w:rPr>
          <w:rFonts w:asciiTheme="minorHAnsi" w:eastAsiaTheme="minorHAnsi" w:hAnsiTheme="minorHAnsi" w:cstheme="minorBidi"/>
          <w:color w:val="0563C1" w:themeColor="hyperlink"/>
          <w:sz w:val="22"/>
          <w:szCs w:val="22"/>
          <w:u w:val="single"/>
          <w:lang w:eastAsia="en-US"/>
        </w:rPr>
        <w:t xml:space="preserve"> Inspiration Day</w:t>
      </w:r>
      <w:r w:rsidR="00962BFD">
        <w:rPr>
          <w:rFonts w:asciiTheme="minorHAnsi" w:eastAsiaTheme="minorHAnsi" w:hAnsiTheme="minorHAnsi" w:cstheme="minorBidi"/>
          <w:color w:val="0563C1" w:themeColor="hyperlink"/>
          <w:sz w:val="22"/>
          <w:szCs w:val="22"/>
          <w:u w:val="single"/>
          <w:lang w:eastAsia="en-US"/>
        </w:rPr>
        <w:fldChar w:fldCharType="end"/>
      </w:r>
      <w:r w:rsidRPr="002617CF">
        <w:rPr>
          <w:rFonts w:asciiTheme="minorHAnsi" w:eastAsiaTheme="minorHAnsi" w:hAnsiTheme="minorHAnsi" w:cstheme="minorBidi"/>
          <w:sz w:val="22"/>
          <w:szCs w:val="22"/>
          <w:lang w:eastAsia="en-US"/>
        </w:rPr>
        <w:t>’ events on campus, which introduces pupils to a wide range of subjects at University level.</w:t>
      </w:r>
    </w:p>
    <w:p w14:paraId="6A88ABA1" w14:textId="77777777" w:rsidR="00E25D4D" w:rsidRPr="002617CF" w:rsidRDefault="00E25D4D" w:rsidP="00E25D4D">
      <w:pPr>
        <w:numPr>
          <w:ilvl w:val="0"/>
          <w:numId w:val="5"/>
        </w:numPr>
        <w:spacing w:after="160" w:line="259" w:lineRule="auto"/>
        <w:contextualSpacing/>
        <w:rPr>
          <w:rFonts w:asciiTheme="minorHAnsi" w:eastAsiaTheme="minorHAnsi" w:hAnsiTheme="minorHAnsi" w:cstheme="minorBidi"/>
          <w:sz w:val="22"/>
          <w:szCs w:val="22"/>
          <w:lang w:eastAsia="en-US"/>
        </w:rPr>
      </w:pPr>
      <w:r w:rsidRPr="002617CF">
        <w:rPr>
          <w:rFonts w:asciiTheme="minorHAnsi" w:eastAsiaTheme="minorHAnsi" w:hAnsiTheme="minorHAnsi" w:cstheme="minorBidi"/>
          <w:sz w:val="22"/>
          <w:szCs w:val="22"/>
          <w:lang w:eastAsia="en-US"/>
        </w:rPr>
        <w:t>Student Financial Aid: The University makes available and widely promote a clear Home/EU undergraduate student financial aid offering that is easy to understand and access.</w:t>
      </w:r>
    </w:p>
    <w:p w14:paraId="182D3A99" w14:textId="77777777" w:rsidR="00E25D4D" w:rsidRPr="002617CF" w:rsidRDefault="00E25D4D" w:rsidP="00E25D4D">
      <w:pPr>
        <w:numPr>
          <w:ilvl w:val="0"/>
          <w:numId w:val="5"/>
        </w:numPr>
        <w:spacing w:after="160" w:line="259" w:lineRule="auto"/>
        <w:contextualSpacing/>
        <w:rPr>
          <w:rFonts w:asciiTheme="minorHAnsi" w:eastAsiaTheme="minorHAnsi" w:hAnsiTheme="minorHAnsi" w:cstheme="minorBidi"/>
          <w:sz w:val="22"/>
          <w:szCs w:val="22"/>
          <w:lang w:eastAsia="en-US"/>
        </w:rPr>
      </w:pPr>
      <w:r w:rsidRPr="002617CF">
        <w:rPr>
          <w:rFonts w:asciiTheme="minorHAnsi" w:eastAsiaTheme="minorHAnsi" w:hAnsiTheme="minorHAnsi" w:cstheme="minorBidi"/>
          <w:sz w:val="22"/>
          <w:szCs w:val="22"/>
          <w:lang w:eastAsia="en-US"/>
        </w:rPr>
        <w:t>Live Local Learn Local provides access to free of charge courses in Community First areas in Cardiff and the surrounding areas, focused on those living in areas where university participation rates are low.</w:t>
      </w:r>
    </w:p>
    <w:p w14:paraId="1A2DC3C5" w14:textId="77777777" w:rsidR="00E25D4D" w:rsidRPr="002617CF" w:rsidRDefault="00E25D4D" w:rsidP="00E25D4D">
      <w:pPr>
        <w:numPr>
          <w:ilvl w:val="0"/>
          <w:numId w:val="5"/>
        </w:numPr>
        <w:spacing w:after="160" w:line="259" w:lineRule="auto"/>
        <w:contextualSpacing/>
        <w:rPr>
          <w:rFonts w:asciiTheme="minorHAnsi" w:eastAsiaTheme="minorHAnsi" w:hAnsiTheme="minorHAnsi" w:cstheme="minorBidi"/>
          <w:sz w:val="22"/>
          <w:szCs w:val="22"/>
          <w:lang w:eastAsia="en-US"/>
        </w:rPr>
      </w:pPr>
      <w:r w:rsidRPr="002617CF">
        <w:rPr>
          <w:rFonts w:asciiTheme="minorHAnsi" w:eastAsiaTheme="minorHAnsi" w:hAnsiTheme="minorHAnsi" w:cstheme="minorBidi"/>
          <w:sz w:val="22"/>
          <w:szCs w:val="22"/>
          <w:lang w:eastAsia="en-US"/>
        </w:rPr>
        <w:t xml:space="preserve">Through the Strategic Equality Plan Action Plan, and </w:t>
      </w:r>
      <w:proofErr w:type="gramStart"/>
      <w:r w:rsidRPr="002617CF">
        <w:rPr>
          <w:rFonts w:asciiTheme="minorHAnsi" w:eastAsiaTheme="minorHAnsi" w:hAnsiTheme="minorHAnsi" w:cstheme="minorBidi"/>
          <w:sz w:val="22"/>
          <w:szCs w:val="22"/>
          <w:lang w:eastAsia="en-US"/>
        </w:rPr>
        <w:t>as a result</w:t>
      </w:r>
      <w:proofErr w:type="gramEnd"/>
      <w:r w:rsidRPr="002617CF">
        <w:rPr>
          <w:rFonts w:asciiTheme="minorHAnsi" w:eastAsiaTheme="minorHAnsi" w:hAnsiTheme="minorHAnsi" w:cstheme="minorBidi"/>
          <w:sz w:val="22"/>
          <w:szCs w:val="22"/>
          <w:lang w:eastAsia="en-US"/>
        </w:rPr>
        <w:t xml:space="preserve"> of analysis of Cardiff University data which shows there are differential outcomes for some groups of our students, we will take action to improve the progression through university of students who are from BME groups, who are male, and who are disabled. We will also take action to improve the attainment of male students and BME students.</w:t>
      </w:r>
    </w:p>
    <w:p w14:paraId="68BC1B47" w14:textId="77777777" w:rsidR="00E25D4D" w:rsidRPr="002617CF" w:rsidRDefault="00E25D4D" w:rsidP="00E25D4D">
      <w:pPr>
        <w:numPr>
          <w:ilvl w:val="0"/>
          <w:numId w:val="5"/>
        </w:numPr>
        <w:spacing w:after="160" w:line="259" w:lineRule="auto"/>
        <w:contextualSpacing/>
        <w:rPr>
          <w:rFonts w:asciiTheme="minorHAnsi" w:eastAsiaTheme="minorHAnsi" w:hAnsiTheme="minorHAnsi" w:cstheme="minorBidi"/>
          <w:sz w:val="22"/>
          <w:szCs w:val="22"/>
          <w:lang w:eastAsia="en-US"/>
        </w:rPr>
      </w:pPr>
      <w:r w:rsidRPr="002617CF">
        <w:rPr>
          <w:rFonts w:asciiTheme="minorHAnsi" w:eastAsiaTheme="minorHAnsi" w:hAnsiTheme="minorHAnsi" w:cstheme="minorBidi"/>
          <w:sz w:val="22"/>
          <w:szCs w:val="22"/>
          <w:lang w:eastAsia="en-US"/>
        </w:rPr>
        <w:t xml:space="preserve">Cardiff University’s </w:t>
      </w:r>
      <w:hyperlink r:id="rId12" w:history="1">
        <w:r w:rsidRPr="002617CF">
          <w:rPr>
            <w:rFonts w:asciiTheme="minorHAnsi" w:eastAsiaTheme="minorHAnsi" w:hAnsiTheme="minorHAnsi" w:cstheme="minorBidi"/>
            <w:color w:val="0563C1" w:themeColor="hyperlink"/>
            <w:sz w:val="22"/>
            <w:szCs w:val="22"/>
            <w:u w:val="single"/>
            <w:lang w:eastAsia="en-US"/>
          </w:rPr>
          <w:t>Peer mentoring scheme</w:t>
        </w:r>
      </w:hyperlink>
      <w:r w:rsidRPr="002617CF">
        <w:rPr>
          <w:rFonts w:asciiTheme="minorHAnsi" w:eastAsiaTheme="minorHAnsi" w:hAnsiTheme="minorHAnsi" w:cstheme="minorBidi"/>
          <w:sz w:val="22"/>
          <w:szCs w:val="22"/>
          <w:lang w:eastAsia="en-US"/>
        </w:rPr>
        <w:t xml:space="preserve"> supports first year students’ transition into Higher Education.</w:t>
      </w:r>
    </w:p>
    <w:p w14:paraId="136F7446" w14:textId="77777777" w:rsidR="00E25D4D" w:rsidRPr="002617CF" w:rsidRDefault="00E25D4D" w:rsidP="00E25D4D">
      <w:pPr>
        <w:spacing w:after="160" w:line="259" w:lineRule="auto"/>
        <w:contextualSpacing/>
        <w:rPr>
          <w:rFonts w:asciiTheme="minorHAnsi" w:eastAsiaTheme="minorHAnsi" w:hAnsiTheme="minorHAnsi" w:cstheme="minorBidi"/>
          <w:sz w:val="22"/>
          <w:szCs w:val="22"/>
          <w:lang w:eastAsia="en-US"/>
        </w:rPr>
      </w:pPr>
    </w:p>
    <w:p w14:paraId="35CC501C" w14:textId="77777777" w:rsidR="00E25D4D" w:rsidRPr="002617CF" w:rsidRDefault="00E25D4D" w:rsidP="00E25D4D">
      <w:pPr>
        <w:spacing w:after="160" w:line="259" w:lineRule="auto"/>
        <w:contextualSpacing/>
        <w:rPr>
          <w:rFonts w:asciiTheme="minorHAnsi" w:eastAsiaTheme="minorHAnsi" w:hAnsiTheme="minorHAnsi" w:cstheme="minorBidi"/>
          <w:sz w:val="22"/>
          <w:szCs w:val="22"/>
          <w:lang w:eastAsia="en-US"/>
        </w:rPr>
      </w:pPr>
    </w:p>
    <w:p w14:paraId="7A2A223A" w14:textId="77777777" w:rsidR="00E25D4D" w:rsidRPr="002617CF" w:rsidRDefault="00E25D4D" w:rsidP="00E25D4D">
      <w:pPr>
        <w:numPr>
          <w:ilvl w:val="0"/>
          <w:numId w:val="2"/>
        </w:numPr>
        <w:spacing w:after="160" w:line="259" w:lineRule="auto"/>
        <w:contextualSpacing/>
        <w:rPr>
          <w:rFonts w:asciiTheme="minorHAnsi" w:eastAsiaTheme="minorHAnsi" w:hAnsiTheme="minorHAnsi" w:cstheme="minorBidi"/>
          <w:b/>
          <w:sz w:val="22"/>
          <w:szCs w:val="22"/>
          <w:lang w:eastAsia="en-US"/>
        </w:rPr>
      </w:pPr>
      <w:r w:rsidRPr="002617CF">
        <w:rPr>
          <w:rFonts w:asciiTheme="minorHAnsi" w:eastAsiaTheme="minorHAnsi" w:hAnsiTheme="minorHAnsi" w:cstheme="minorBidi"/>
          <w:b/>
          <w:sz w:val="22"/>
          <w:szCs w:val="22"/>
          <w:lang w:eastAsia="en-US"/>
        </w:rPr>
        <w:t>ASQC is invited to:</w:t>
      </w:r>
    </w:p>
    <w:p w14:paraId="3D700607" w14:textId="77777777" w:rsidR="00E25D4D" w:rsidRPr="002617CF" w:rsidRDefault="00E25D4D" w:rsidP="008D1B9C">
      <w:pPr>
        <w:numPr>
          <w:ilvl w:val="0"/>
          <w:numId w:val="4"/>
        </w:numPr>
        <w:spacing w:after="160" w:line="259" w:lineRule="auto"/>
        <w:contextualSpacing/>
        <w:rPr>
          <w:rFonts w:asciiTheme="minorHAnsi" w:hAnsiTheme="minorHAnsi"/>
        </w:rPr>
      </w:pPr>
      <w:r w:rsidRPr="002617CF">
        <w:rPr>
          <w:rFonts w:asciiTheme="minorHAnsi" w:eastAsiaTheme="minorHAnsi" w:hAnsiTheme="minorHAnsi" w:cstheme="minorBidi"/>
          <w:sz w:val="22"/>
          <w:szCs w:val="22"/>
          <w:lang w:eastAsia="en-US"/>
        </w:rPr>
        <w:t>Approve the WP strategy attached at Annex A.</w:t>
      </w:r>
    </w:p>
    <w:p w14:paraId="0DA4173C" w14:textId="77777777" w:rsidR="00E25D4D" w:rsidRPr="002617CF" w:rsidRDefault="00E25D4D" w:rsidP="008D1B9C">
      <w:pPr>
        <w:numPr>
          <w:ilvl w:val="0"/>
          <w:numId w:val="4"/>
        </w:numPr>
        <w:spacing w:after="160" w:line="259" w:lineRule="auto"/>
        <w:contextualSpacing/>
        <w:rPr>
          <w:rFonts w:asciiTheme="minorHAnsi" w:eastAsiaTheme="minorHAnsi" w:hAnsiTheme="minorHAnsi" w:cstheme="minorBidi"/>
          <w:sz w:val="22"/>
          <w:szCs w:val="22"/>
          <w:lang w:eastAsia="en-US"/>
        </w:rPr>
      </w:pPr>
      <w:r w:rsidRPr="002617CF">
        <w:rPr>
          <w:rFonts w:asciiTheme="minorHAnsi" w:eastAsiaTheme="minorHAnsi" w:hAnsiTheme="minorHAnsi" w:cstheme="minorBidi"/>
          <w:sz w:val="22"/>
          <w:szCs w:val="22"/>
          <w:lang w:eastAsia="en-US"/>
        </w:rPr>
        <w:t xml:space="preserve">Note the paper at Annex </w:t>
      </w:r>
      <w:proofErr w:type="gramStart"/>
      <w:r w:rsidRPr="002617CF">
        <w:rPr>
          <w:rFonts w:asciiTheme="minorHAnsi" w:eastAsiaTheme="minorHAnsi" w:hAnsiTheme="minorHAnsi" w:cstheme="minorBidi"/>
          <w:sz w:val="22"/>
          <w:szCs w:val="22"/>
          <w:lang w:eastAsia="en-US"/>
        </w:rPr>
        <w:t>B which</w:t>
      </w:r>
      <w:proofErr w:type="gramEnd"/>
      <w:r w:rsidRPr="002617CF">
        <w:rPr>
          <w:rFonts w:asciiTheme="minorHAnsi" w:eastAsiaTheme="minorHAnsi" w:hAnsiTheme="minorHAnsi" w:cstheme="minorBidi"/>
          <w:sz w:val="22"/>
          <w:szCs w:val="22"/>
          <w:lang w:eastAsia="en-US"/>
        </w:rPr>
        <w:t xml:space="preserve"> describes work undertaken and planned to determine our indicators of success, to use data to target our WP activities, and to develop our evidence base.</w:t>
      </w:r>
    </w:p>
    <w:p w14:paraId="6B1C005B" w14:textId="77777777" w:rsidR="00E25D4D" w:rsidRPr="002617CF" w:rsidRDefault="00E25D4D" w:rsidP="00E25D4D">
      <w:pPr>
        <w:spacing w:after="160" w:line="259" w:lineRule="auto"/>
        <w:ind w:left="720"/>
        <w:contextualSpacing/>
        <w:rPr>
          <w:rFonts w:asciiTheme="minorHAnsi" w:eastAsiaTheme="minorHAnsi" w:hAnsiTheme="minorHAnsi" w:cstheme="minorBidi"/>
          <w:sz w:val="22"/>
          <w:szCs w:val="22"/>
          <w:lang w:eastAsia="en-US"/>
        </w:rPr>
      </w:pPr>
    </w:p>
    <w:p w14:paraId="2C469FAA" w14:textId="77777777" w:rsidR="00E25D4D" w:rsidRPr="002617CF" w:rsidRDefault="00E25D4D" w:rsidP="00E25D4D">
      <w:pPr>
        <w:rPr>
          <w:rFonts w:asciiTheme="minorHAnsi" w:hAnsiTheme="minorHAnsi"/>
        </w:rPr>
      </w:pPr>
    </w:p>
    <w:p w14:paraId="2C68194C" w14:textId="77777777" w:rsidR="00E25D4D" w:rsidRPr="002617CF" w:rsidRDefault="00E25D4D" w:rsidP="00E25D4D">
      <w:pPr>
        <w:rPr>
          <w:rFonts w:asciiTheme="minorHAnsi" w:hAnsiTheme="minorHAnsi"/>
        </w:rPr>
      </w:pPr>
    </w:p>
    <w:p w14:paraId="309F3899" w14:textId="77777777" w:rsidR="00E25D4D" w:rsidRPr="002617CF" w:rsidRDefault="00E25D4D" w:rsidP="00E25D4D">
      <w:pPr>
        <w:rPr>
          <w:rFonts w:asciiTheme="minorHAnsi" w:hAnsiTheme="minorHAnsi"/>
        </w:rPr>
      </w:pPr>
    </w:p>
    <w:p w14:paraId="674B2411" w14:textId="77777777" w:rsidR="00E25D4D" w:rsidRPr="002617CF" w:rsidRDefault="00E25D4D" w:rsidP="00E25D4D">
      <w:pPr>
        <w:rPr>
          <w:rFonts w:asciiTheme="minorHAnsi" w:hAnsiTheme="minorHAnsi"/>
        </w:rPr>
      </w:pPr>
    </w:p>
    <w:p w14:paraId="48B37BE3" w14:textId="77777777" w:rsidR="00E25D4D" w:rsidRPr="002617CF" w:rsidRDefault="00E25D4D" w:rsidP="00E25D4D">
      <w:pPr>
        <w:rPr>
          <w:rFonts w:asciiTheme="minorHAnsi" w:hAnsiTheme="minorHAnsi"/>
        </w:rPr>
      </w:pPr>
    </w:p>
    <w:p w14:paraId="28A499E5" w14:textId="77777777" w:rsidR="00E25D4D" w:rsidRPr="002617CF" w:rsidRDefault="00E25D4D" w:rsidP="00E25D4D">
      <w:pPr>
        <w:rPr>
          <w:rFonts w:asciiTheme="minorHAnsi" w:hAnsiTheme="minorHAnsi"/>
        </w:rPr>
      </w:pPr>
    </w:p>
    <w:p w14:paraId="4DB0A548" w14:textId="77777777" w:rsidR="00E25D4D" w:rsidRPr="002617CF" w:rsidRDefault="00E25D4D" w:rsidP="00E25D4D">
      <w:pPr>
        <w:rPr>
          <w:rFonts w:asciiTheme="minorHAnsi" w:hAnsiTheme="minorHAnsi"/>
        </w:rPr>
      </w:pPr>
    </w:p>
    <w:p w14:paraId="0CC192C0" w14:textId="77777777" w:rsidR="00E25D4D" w:rsidRPr="002617CF" w:rsidRDefault="00E25D4D" w:rsidP="00E25D4D">
      <w:pPr>
        <w:rPr>
          <w:rFonts w:asciiTheme="minorHAnsi" w:hAnsiTheme="minorHAnsi"/>
        </w:rPr>
      </w:pPr>
    </w:p>
    <w:p w14:paraId="7927902F" w14:textId="77777777" w:rsidR="00E25D4D" w:rsidRPr="002617CF" w:rsidRDefault="00E25D4D" w:rsidP="00E25D4D">
      <w:pPr>
        <w:rPr>
          <w:rFonts w:asciiTheme="minorHAnsi" w:hAnsiTheme="minorHAnsi"/>
        </w:rPr>
      </w:pPr>
    </w:p>
    <w:p w14:paraId="7DD3635E" w14:textId="77777777" w:rsidR="00E25D4D" w:rsidRPr="002617CF" w:rsidRDefault="00E25D4D" w:rsidP="00E25D4D">
      <w:pPr>
        <w:rPr>
          <w:rFonts w:asciiTheme="minorHAnsi" w:hAnsiTheme="minorHAnsi"/>
        </w:rPr>
      </w:pPr>
    </w:p>
    <w:p w14:paraId="3197F693" w14:textId="77777777" w:rsidR="00E25D4D" w:rsidRPr="002617CF" w:rsidRDefault="00E25D4D" w:rsidP="00E25D4D">
      <w:pPr>
        <w:rPr>
          <w:rFonts w:asciiTheme="minorHAnsi" w:hAnsiTheme="minorHAnsi"/>
        </w:rPr>
      </w:pPr>
    </w:p>
    <w:p w14:paraId="2DDB2EC2" w14:textId="77777777" w:rsidR="00E25D4D" w:rsidRPr="002617CF" w:rsidRDefault="00E25D4D" w:rsidP="00E25D4D">
      <w:pPr>
        <w:rPr>
          <w:rFonts w:asciiTheme="minorHAnsi" w:hAnsiTheme="minorHAnsi"/>
        </w:rPr>
      </w:pPr>
    </w:p>
    <w:p w14:paraId="4C9D9BA6" w14:textId="77777777" w:rsidR="00E25D4D" w:rsidRPr="002617CF" w:rsidRDefault="00E25D4D" w:rsidP="00E25D4D">
      <w:pPr>
        <w:rPr>
          <w:rFonts w:asciiTheme="minorHAnsi" w:hAnsiTheme="minorHAnsi"/>
        </w:rPr>
      </w:pPr>
    </w:p>
    <w:p w14:paraId="5568FA9B" w14:textId="77777777" w:rsidR="00E25D4D" w:rsidRPr="002617CF" w:rsidRDefault="00E25D4D" w:rsidP="00E25D4D">
      <w:pPr>
        <w:rPr>
          <w:rFonts w:asciiTheme="minorHAnsi" w:hAnsiTheme="minorHAnsi"/>
        </w:rPr>
      </w:pPr>
    </w:p>
    <w:p w14:paraId="3762FB34" w14:textId="77777777" w:rsidR="00E25D4D" w:rsidRPr="002617CF" w:rsidRDefault="00E25D4D" w:rsidP="00E25D4D">
      <w:pPr>
        <w:rPr>
          <w:rFonts w:asciiTheme="minorHAnsi" w:hAnsiTheme="minorHAnsi"/>
        </w:rPr>
      </w:pPr>
    </w:p>
    <w:p w14:paraId="6B4BCD22" w14:textId="77777777" w:rsidR="00E25D4D" w:rsidRPr="002617CF" w:rsidRDefault="00E25D4D" w:rsidP="00E25D4D">
      <w:pPr>
        <w:rPr>
          <w:rFonts w:asciiTheme="minorHAnsi" w:hAnsiTheme="minorHAnsi"/>
        </w:rPr>
      </w:pPr>
    </w:p>
    <w:p w14:paraId="560989FC" w14:textId="77777777" w:rsidR="00E25D4D" w:rsidRPr="002617CF" w:rsidRDefault="00E25D4D" w:rsidP="00E25D4D">
      <w:pPr>
        <w:rPr>
          <w:rFonts w:asciiTheme="minorHAnsi" w:hAnsiTheme="minorHAnsi"/>
        </w:rPr>
      </w:pPr>
    </w:p>
    <w:p w14:paraId="46FF7378" w14:textId="77777777" w:rsidR="00E25D4D" w:rsidRPr="002617CF" w:rsidRDefault="00E25D4D" w:rsidP="00E25D4D">
      <w:pPr>
        <w:rPr>
          <w:rFonts w:asciiTheme="minorHAnsi" w:hAnsiTheme="minorHAnsi"/>
        </w:rPr>
      </w:pPr>
    </w:p>
    <w:p w14:paraId="50FDA426" w14:textId="77777777" w:rsidR="00E25D4D" w:rsidRPr="002617CF" w:rsidRDefault="00E25D4D" w:rsidP="00E25D4D">
      <w:pPr>
        <w:rPr>
          <w:rFonts w:asciiTheme="minorHAnsi" w:hAnsiTheme="minorHAnsi"/>
        </w:rPr>
      </w:pPr>
    </w:p>
    <w:p w14:paraId="2D8F32AD" w14:textId="77777777" w:rsidR="00E25D4D" w:rsidRPr="002617CF" w:rsidRDefault="00E25D4D" w:rsidP="00E25D4D">
      <w:pPr>
        <w:rPr>
          <w:rFonts w:asciiTheme="minorHAnsi" w:hAnsiTheme="minorHAnsi"/>
        </w:rPr>
      </w:pPr>
    </w:p>
    <w:p w14:paraId="6997EDC3" w14:textId="77777777" w:rsidR="00E25D4D" w:rsidRPr="002617CF" w:rsidRDefault="00E25D4D" w:rsidP="00E25D4D">
      <w:pPr>
        <w:rPr>
          <w:rFonts w:asciiTheme="minorHAnsi" w:hAnsiTheme="minorHAnsi"/>
        </w:rPr>
      </w:pPr>
    </w:p>
    <w:p w14:paraId="048946A8" w14:textId="77777777" w:rsidR="00E25D4D" w:rsidRPr="002617CF" w:rsidRDefault="00E25D4D" w:rsidP="00E25D4D">
      <w:pPr>
        <w:rPr>
          <w:rFonts w:asciiTheme="minorHAnsi" w:hAnsiTheme="minorHAnsi"/>
        </w:rPr>
      </w:pPr>
    </w:p>
    <w:p w14:paraId="21685554" w14:textId="77777777" w:rsidR="00E25D4D" w:rsidRPr="002617CF" w:rsidRDefault="00E25D4D" w:rsidP="00E25D4D">
      <w:pPr>
        <w:rPr>
          <w:rFonts w:asciiTheme="minorHAnsi" w:hAnsiTheme="minorHAnsi"/>
        </w:rPr>
      </w:pPr>
    </w:p>
    <w:p w14:paraId="3A9E3721" w14:textId="77777777" w:rsidR="00E25D4D" w:rsidRPr="002617CF" w:rsidRDefault="00E25D4D" w:rsidP="00E25D4D">
      <w:pPr>
        <w:rPr>
          <w:rFonts w:asciiTheme="minorHAnsi" w:hAnsiTheme="minorHAnsi"/>
        </w:rPr>
      </w:pPr>
    </w:p>
    <w:p w14:paraId="62B5CEFE" w14:textId="77777777" w:rsidR="00E25D4D" w:rsidRPr="002617CF" w:rsidRDefault="00E25D4D" w:rsidP="00E25D4D">
      <w:pPr>
        <w:rPr>
          <w:rFonts w:asciiTheme="minorHAnsi" w:hAnsiTheme="minorHAnsi"/>
        </w:rPr>
      </w:pPr>
    </w:p>
    <w:p w14:paraId="73D2D697" w14:textId="77777777" w:rsidR="00E25D4D" w:rsidRPr="002617CF" w:rsidRDefault="00E25D4D" w:rsidP="00E25D4D">
      <w:pPr>
        <w:rPr>
          <w:rFonts w:asciiTheme="minorHAnsi" w:hAnsiTheme="minorHAnsi"/>
        </w:rPr>
      </w:pPr>
    </w:p>
    <w:p w14:paraId="7A7F4368" w14:textId="77777777" w:rsidR="00E25D4D" w:rsidRPr="002617CF" w:rsidRDefault="00E25D4D" w:rsidP="00E25D4D">
      <w:pPr>
        <w:rPr>
          <w:rFonts w:asciiTheme="minorHAnsi" w:hAnsiTheme="minorHAnsi"/>
        </w:rPr>
      </w:pPr>
    </w:p>
    <w:p w14:paraId="7F49E3FD" w14:textId="77777777" w:rsidR="00E25D4D" w:rsidRPr="002617CF" w:rsidRDefault="00E25D4D" w:rsidP="00E25D4D">
      <w:pPr>
        <w:rPr>
          <w:rFonts w:asciiTheme="minorHAnsi" w:hAnsiTheme="minorHAnsi"/>
        </w:rPr>
      </w:pPr>
    </w:p>
    <w:p w14:paraId="50BC60D0" w14:textId="77777777" w:rsidR="00E25D4D" w:rsidRPr="002617CF" w:rsidRDefault="00E25D4D" w:rsidP="00E25D4D">
      <w:pPr>
        <w:rPr>
          <w:rFonts w:asciiTheme="minorHAnsi" w:hAnsiTheme="minorHAnsi"/>
        </w:rPr>
      </w:pPr>
    </w:p>
    <w:p w14:paraId="65DAE7CC" w14:textId="77777777" w:rsidR="00E25D4D" w:rsidRPr="002617CF" w:rsidRDefault="00E25D4D" w:rsidP="00E25D4D">
      <w:pPr>
        <w:rPr>
          <w:rFonts w:asciiTheme="minorHAnsi" w:hAnsiTheme="minorHAnsi"/>
        </w:rPr>
      </w:pPr>
    </w:p>
    <w:p w14:paraId="19FB6DF4" w14:textId="77777777" w:rsidR="00E25D4D" w:rsidRPr="002617CF" w:rsidRDefault="00E25D4D" w:rsidP="00E25D4D">
      <w:pPr>
        <w:rPr>
          <w:rFonts w:asciiTheme="minorHAnsi" w:hAnsiTheme="minorHAnsi"/>
        </w:rPr>
      </w:pPr>
    </w:p>
    <w:p w14:paraId="5DB5F23F" w14:textId="77777777" w:rsidR="00E25D4D" w:rsidRPr="002617CF" w:rsidRDefault="00E25D4D" w:rsidP="00E25D4D">
      <w:pPr>
        <w:rPr>
          <w:rFonts w:asciiTheme="minorHAnsi" w:hAnsiTheme="minorHAnsi"/>
        </w:rPr>
      </w:pPr>
    </w:p>
    <w:p w14:paraId="281B351A" w14:textId="77777777" w:rsidR="00E25D4D" w:rsidRPr="002617CF" w:rsidRDefault="00E25D4D" w:rsidP="00E25D4D">
      <w:pPr>
        <w:rPr>
          <w:rFonts w:asciiTheme="minorHAnsi" w:hAnsiTheme="minorHAnsi"/>
        </w:rPr>
      </w:pPr>
    </w:p>
    <w:p w14:paraId="36D0F499" w14:textId="77777777" w:rsidR="00E25D4D" w:rsidRPr="002617CF" w:rsidRDefault="00E25D4D" w:rsidP="00E25D4D">
      <w:pPr>
        <w:rPr>
          <w:rFonts w:asciiTheme="minorHAnsi" w:hAnsiTheme="minorHAnsi"/>
        </w:rPr>
      </w:pPr>
    </w:p>
    <w:p w14:paraId="7E9A7343" w14:textId="77777777" w:rsidR="006670A3" w:rsidRDefault="006670A3">
      <w:pPr>
        <w:spacing w:after="160" w:line="259" w:lineRule="auto"/>
        <w:rPr>
          <w:rFonts w:asciiTheme="minorHAnsi" w:hAnsiTheme="minorHAnsi"/>
          <w:b/>
          <w:color w:val="000000" w:themeColor="text1"/>
        </w:rPr>
      </w:pPr>
      <w:r>
        <w:rPr>
          <w:rFonts w:asciiTheme="minorHAnsi" w:hAnsiTheme="minorHAnsi"/>
          <w:b/>
          <w:color w:val="000000" w:themeColor="text1"/>
        </w:rPr>
        <w:br w:type="page"/>
      </w:r>
    </w:p>
    <w:p w14:paraId="340B55A8" w14:textId="67D557E9" w:rsidR="00D81E8C" w:rsidRPr="002617CF" w:rsidRDefault="00D81E8C" w:rsidP="00E25D4D">
      <w:pPr>
        <w:rPr>
          <w:rFonts w:asciiTheme="minorHAnsi" w:hAnsiTheme="minorHAnsi"/>
          <w:b/>
          <w:color w:val="000000" w:themeColor="text1"/>
        </w:rPr>
      </w:pPr>
      <w:r w:rsidRPr="002617CF">
        <w:rPr>
          <w:rFonts w:asciiTheme="minorHAnsi" w:hAnsiTheme="minorHAnsi"/>
          <w:b/>
          <w:color w:val="000000" w:themeColor="text1"/>
        </w:rPr>
        <w:t>Annex A</w:t>
      </w:r>
    </w:p>
    <w:p w14:paraId="31E1D6A3" w14:textId="77777777" w:rsidR="00D81E8C" w:rsidRPr="002617CF" w:rsidRDefault="00D81E8C" w:rsidP="00E25D4D">
      <w:pPr>
        <w:rPr>
          <w:rFonts w:asciiTheme="minorHAnsi" w:hAnsiTheme="minorHAnsi"/>
          <w:b/>
          <w:color w:val="FF0000"/>
        </w:rPr>
      </w:pPr>
    </w:p>
    <w:p w14:paraId="3FF4056E" w14:textId="77777777" w:rsidR="00E25D4D" w:rsidRPr="002617CF" w:rsidRDefault="00E25D4D" w:rsidP="00E25D4D">
      <w:pPr>
        <w:rPr>
          <w:rFonts w:asciiTheme="minorHAnsi" w:hAnsiTheme="minorHAnsi"/>
          <w:b/>
          <w:sz w:val="32"/>
        </w:rPr>
      </w:pPr>
      <w:r w:rsidRPr="002617CF">
        <w:rPr>
          <w:rFonts w:asciiTheme="minorHAnsi" w:hAnsiTheme="minorHAnsi"/>
          <w:b/>
          <w:color w:val="FF0000"/>
          <w:sz w:val="32"/>
        </w:rPr>
        <w:t xml:space="preserve">DRAFT </w:t>
      </w:r>
      <w:r w:rsidRPr="002617CF">
        <w:rPr>
          <w:rFonts w:asciiTheme="minorHAnsi" w:hAnsiTheme="minorHAnsi"/>
          <w:b/>
          <w:sz w:val="32"/>
        </w:rPr>
        <w:t xml:space="preserve">Cardiff University Widening Participation Strategy </w:t>
      </w:r>
    </w:p>
    <w:p w14:paraId="0F811B1D" w14:textId="77777777" w:rsidR="00E25D4D" w:rsidRPr="002617CF" w:rsidRDefault="00E25D4D" w:rsidP="00E25D4D">
      <w:pPr>
        <w:pStyle w:val="lead"/>
        <w:shd w:val="clear" w:color="auto" w:fill="FFFFFF"/>
        <w:spacing w:before="0" w:beforeAutospacing="0" w:after="0" w:afterAutospacing="0"/>
        <w:rPr>
          <w:rFonts w:asciiTheme="minorHAnsi" w:hAnsiTheme="minorHAnsi"/>
          <w:iCs/>
          <w:color w:val="383735"/>
        </w:rPr>
      </w:pPr>
    </w:p>
    <w:p w14:paraId="5068F920" w14:textId="77777777" w:rsidR="00896849" w:rsidRDefault="00896849" w:rsidP="00896849">
      <w:pPr>
        <w:pStyle w:val="lead"/>
        <w:shd w:val="clear" w:color="auto" w:fill="FFFFFF"/>
        <w:spacing w:before="0" w:beforeAutospacing="0" w:after="0" w:afterAutospacing="0"/>
        <w:rPr>
          <w:rFonts w:asciiTheme="minorHAnsi" w:hAnsiTheme="minorHAnsi"/>
          <w:iCs/>
          <w:color w:val="383735"/>
        </w:rPr>
      </w:pPr>
      <w:r>
        <w:rPr>
          <w:rFonts w:asciiTheme="minorHAnsi" w:hAnsiTheme="minorHAnsi"/>
          <w:iCs/>
          <w:color w:val="383735"/>
        </w:rPr>
        <w:t>Cardiff University is committed to recruiting the brightest students from all levels of society.</w:t>
      </w:r>
    </w:p>
    <w:p w14:paraId="662A1BF6" w14:textId="76905813" w:rsidR="00896849" w:rsidRDefault="00896849" w:rsidP="00896849">
      <w:pPr>
        <w:pStyle w:val="lead"/>
        <w:shd w:val="clear" w:color="auto" w:fill="FFFFFF"/>
        <w:spacing w:before="240" w:beforeAutospacing="0" w:after="240" w:afterAutospacing="0"/>
        <w:rPr>
          <w:rFonts w:asciiTheme="minorHAnsi" w:hAnsiTheme="minorHAnsi"/>
          <w:iCs/>
          <w:color w:val="383735"/>
        </w:rPr>
      </w:pPr>
      <w:r>
        <w:rPr>
          <w:rFonts w:asciiTheme="minorHAnsi" w:hAnsiTheme="minorHAnsi"/>
          <w:iCs/>
          <w:color w:val="383735"/>
        </w:rPr>
        <w:t xml:space="preserve">Through our widening participation </w:t>
      </w:r>
      <w:proofErr w:type="gramStart"/>
      <w:r>
        <w:rPr>
          <w:rFonts w:asciiTheme="minorHAnsi" w:hAnsiTheme="minorHAnsi"/>
          <w:iCs/>
          <w:color w:val="383735"/>
        </w:rPr>
        <w:t>activity</w:t>
      </w:r>
      <w:proofErr w:type="gramEnd"/>
      <w:r>
        <w:rPr>
          <w:rFonts w:asciiTheme="minorHAnsi" w:hAnsiTheme="minorHAnsi"/>
          <w:iCs/>
          <w:color w:val="383735"/>
        </w:rPr>
        <w:t xml:space="preserve"> we are helping to break down barriers to a university education, and dispel the myth that access to a Russell Group university, such as Cardiff</w:t>
      </w:r>
      <w:r w:rsidR="003E5FBE">
        <w:rPr>
          <w:rFonts w:asciiTheme="minorHAnsi" w:hAnsiTheme="minorHAnsi"/>
          <w:iCs/>
          <w:color w:val="383735"/>
        </w:rPr>
        <w:t xml:space="preserve"> University</w:t>
      </w:r>
      <w:r>
        <w:rPr>
          <w:rFonts w:asciiTheme="minorHAnsi" w:hAnsiTheme="minorHAnsi"/>
          <w:iCs/>
          <w:color w:val="383735"/>
        </w:rPr>
        <w:t xml:space="preserve">, is the preserve of a privileged elite. Our commitment to supporting students from underrepresented groups </w:t>
      </w:r>
      <w:proofErr w:type="gramStart"/>
      <w:r>
        <w:rPr>
          <w:rFonts w:asciiTheme="minorHAnsi" w:hAnsiTheme="minorHAnsi"/>
          <w:iCs/>
          <w:color w:val="383735"/>
        </w:rPr>
        <w:t>is grounded</w:t>
      </w:r>
      <w:proofErr w:type="gramEnd"/>
      <w:r>
        <w:rPr>
          <w:rFonts w:asciiTheme="minorHAnsi" w:hAnsiTheme="minorHAnsi"/>
          <w:iCs/>
          <w:color w:val="383735"/>
        </w:rPr>
        <w:t xml:space="preserve"> in our proud history as a civic university, benefitting the city of Cardiff and Wales more widely. We </w:t>
      </w:r>
      <w:r w:rsidRPr="00726C4F">
        <w:rPr>
          <w:rFonts w:asciiTheme="minorHAnsi" w:hAnsiTheme="minorHAnsi"/>
          <w:iCs/>
          <w:color w:val="383735"/>
        </w:rPr>
        <w:t>work with more than 300</w:t>
      </w:r>
      <w:r>
        <w:rPr>
          <w:rFonts w:asciiTheme="minorHAnsi" w:hAnsiTheme="minorHAnsi"/>
          <w:iCs/>
          <w:color w:val="383735"/>
        </w:rPr>
        <w:t xml:space="preserve"> </w:t>
      </w:r>
      <w:r w:rsidRPr="00726C4F">
        <w:rPr>
          <w:rFonts w:asciiTheme="minorHAnsi" w:hAnsiTheme="minorHAnsi"/>
          <w:iCs/>
          <w:color w:val="383735"/>
        </w:rPr>
        <w:t>schools and colleges in disadvantaged</w:t>
      </w:r>
      <w:r>
        <w:rPr>
          <w:rFonts w:asciiTheme="minorHAnsi" w:hAnsiTheme="minorHAnsi"/>
          <w:iCs/>
          <w:color w:val="383735"/>
        </w:rPr>
        <w:t xml:space="preserve"> </w:t>
      </w:r>
      <w:r w:rsidRPr="00726C4F">
        <w:rPr>
          <w:rFonts w:asciiTheme="minorHAnsi" w:hAnsiTheme="minorHAnsi"/>
          <w:iCs/>
          <w:color w:val="383735"/>
        </w:rPr>
        <w:t>areas across Wales to raise aspirations, broaden</w:t>
      </w:r>
      <w:r>
        <w:rPr>
          <w:rFonts w:asciiTheme="minorHAnsi" w:hAnsiTheme="minorHAnsi"/>
          <w:iCs/>
          <w:color w:val="383735"/>
        </w:rPr>
        <w:t xml:space="preserve"> </w:t>
      </w:r>
      <w:r w:rsidRPr="00726C4F">
        <w:rPr>
          <w:rFonts w:asciiTheme="minorHAnsi" w:hAnsiTheme="minorHAnsi"/>
          <w:iCs/>
          <w:color w:val="383735"/>
        </w:rPr>
        <w:t>awareness and promote the benefits of</w:t>
      </w:r>
      <w:r>
        <w:rPr>
          <w:rFonts w:asciiTheme="minorHAnsi" w:hAnsiTheme="minorHAnsi"/>
          <w:iCs/>
          <w:color w:val="383735"/>
        </w:rPr>
        <w:t xml:space="preserve"> </w:t>
      </w:r>
      <w:r w:rsidRPr="00726C4F">
        <w:rPr>
          <w:rFonts w:asciiTheme="minorHAnsi" w:hAnsiTheme="minorHAnsi"/>
          <w:iCs/>
          <w:color w:val="383735"/>
        </w:rPr>
        <w:t>higher education.</w:t>
      </w:r>
      <w:r>
        <w:rPr>
          <w:rFonts w:asciiTheme="minorHAnsi" w:hAnsiTheme="minorHAnsi"/>
          <w:iCs/>
          <w:color w:val="383735"/>
        </w:rPr>
        <w:t xml:space="preserve"> </w:t>
      </w:r>
      <w:r w:rsidRPr="00BB6567">
        <w:rPr>
          <w:rFonts w:asciiTheme="minorHAnsi" w:hAnsiTheme="minorHAnsi"/>
          <w:iCs/>
          <w:color w:val="383735"/>
        </w:rPr>
        <w:t>M</w:t>
      </w:r>
      <w:r w:rsidRPr="00BB6567">
        <w:rPr>
          <w:rFonts w:asciiTheme="minorHAnsi" w:hAnsiTheme="minorHAnsi"/>
          <w:bCs/>
          <w:iCs/>
          <w:color w:val="383735"/>
        </w:rPr>
        <w:t xml:space="preserve">ore than 3,000 sixth form students </w:t>
      </w:r>
      <w:r w:rsidRPr="00726C4F">
        <w:rPr>
          <w:rFonts w:asciiTheme="minorHAnsi" w:hAnsiTheme="minorHAnsi"/>
          <w:iCs/>
          <w:color w:val="383735"/>
        </w:rPr>
        <w:t xml:space="preserve">benefit each year from our general widening participation programmes. </w:t>
      </w:r>
      <w:r>
        <w:rPr>
          <w:rFonts w:asciiTheme="minorHAnsi" w:hAnsiTheme="minorHAnsi"/>
          <w:iCs/>
          <w:color w:val="383735"/>
        </w:rPr>
        <w:t xml:space="preserve">In </w:t>
      </w:r>
      <w:proofErr w:type="gramStart"/>
      <w:r>
        <w:rPr>
          <w:rFonts w:asciiTheme="minorHAnsi" w:hAnsiTheme="minorHAnsi"/>
          <w:iCs/>
          <w:color w:val="383735"/>
        </w:rPr>
        <w:t>2014/15</w:t>
      </w:r>
      <w:proofErr w:type="gramEnd"/>
      <w:r>
        <w:rPr>
          <w:rFonts w:asciiTheme="minorHAnsi" w:hAnsiTheme="minorHAnsi"/>
          <w:iCs/>
          <w:color w:val="383735"/>
        </w:rPr>
        <w:t xml:space="preserve"> we had the second highest number of students from lo</w:t>
      </w:r>
      <w:r w:rsidR="005F4720">
        <w:rPr>
          <w:rFonts w:asciiTheme="minorHAnsi" w:hAnsiTheme="minorHAnsi"/>
          <w:iCs/>
          <w:color w:val="383735"/>
        </w:rPr>
        <w:t>w participation areas in Wales.</w:t>
      </w:r>
    </w:p>
    <w:p w14:paraId="1E7945FA" w14:textId="66713D97" w:rsidR="00E25D4D" w:rsidRPr="002617CF" w:rsidRDefault="00E25D4D" w:rsidP="00E25D4D">
      <w:pPr>
        <w:pStyle w:val="lead"/>
        <w:shd w:val="clear" w:color="auto" w:fill="FFFFFF"/>
        <w:spacing w:before="0" w:beforeAutospacing="0" w:after="0" w:afterAutospacing="0"/>
        <w:rPr>
          <w:rFonts w:asciiTheme="minorHAnsi" w:hAnsiTheme="minorHAnsi"/>
          <w:iCs/>
          <w:color w:val="383735"/>
        </w:rPr>
      </w:pPr>
      <w:r w:rsidRPr="002617CF">
        <w:rPr>
          <w:rFonts w:asciiTheme="minorHAnsi" w:hAnsiTheme="minorHAnsi"/>
          <w:iCs/>
          <w:color w:val="383735"/>
        </w:rPr>
        <w:t xml:space="preserve">Our widening participation strategy </w:t>
      </w:r>
      <w:r w:rsidR="00896849">
        <w:rPr>
          <w:rFonts w:asciiTheme="minorHAnsi" w:hAnsiTheme="minorHAnsi"/>
          <w:iCs/>
          <w:color w:val="383735"/>
        </w:rPr>
        <w:t xml:space="preserve">builds on our successes and </w:t>
      </w:r>
      <w:r w:rsidRPr="002617CF">
        <w:rPr>
          <w:rFonts w:asciiTheme="minorHAnsi" w:hAnsiTheme="minorHAnsi"/>
          <w:iCs/>
          <w:color w:val="383735"/>
        </w:rPr>
        <w:t xml:space="preserve">addresses the recruitment, retention and progression of students from a wide variety of groups traditionally under-represented in higher education. </w:t>
      </w:r>
      <w:r w:rsidRPr="002617CF">
        <w:rPr>
          <w:rFonts w:asciiTheme="minorHAnsi" w:hAnsiTheme="minorHAnsi" w:cs="Arial"/>
          <w:color w:val="383735"/>
        </w:rPr>
        <w:t xml:space="preserve">These include people from ethnic minority groups, from disadvantaged communities, and people with disabilities. </w:t>
      </w:r>
    </w:p>
    <w:p w14:paraId="2D7E3980" w14:textId="77777777" w:rsidR="00E25D4D" w:rsidRPr="002617CF" w:rsidRDefault="00E25D4D" w:rsidP="00E25D4D">
      <w:pPr>
        <w:rPr>
          <w:rFonts w:asciiTheme="minorHAnsi" w:hAnsiTheme="minorHAnsi"/>
          <w:b/>
        </w:rPr>
      </w:pPr>
    </w:p>
    <w:p w14:paraId="5E70A762" w14:textId="77777777" w:rsidR="00E25D4D" w:rsidRPr="002617CF" w:rsidRDefault="00E25D4D" w:rsidP="00E25D4D">
      <w:pPr>
        <w:rPr>
          <w:rFonts w:asciiTheme="minorHAnsi" w:hAnsiTheme="minorHAnsi"/>
          <w:b/>
          <w:sz w:val="32"/>
        </w:rPr>
      </w:pPr>
      <w:r w:rsidRPr="002617CF">
        <w:rPr>
          <w:rFonts w:asciiTheme="minorHAnsi" w:hAnsiTheme="minorHAnsi"/>
          <w:b/>
          <w:sz w:val="32"/>
        </w:rPr>
        <w:t>Vision</w:t>
      </w:r>
    </w:p>
    <w:p w14:paraId="22D24A2C" w14:textId="77777777" w:rsidR="00E25D4D" w:rsidRPr="002617CF" w:rsidRDefault="00E25D4D" w:rsidP="00E25D4D">
      <w:pPr>
        <w:rPr>
          <w:rFonts w:asciiTheme="minorHAnsi" w:hAnsiTheme="minorHAnsi"/>
          <w:b/>
          <w:sz w:val="16"/>
          <w:szCs w:val="16"/>
        </w:rPr>
      </w:pPr>
    </w:p>
    <w:p w14:paraId="78743F37" w14:textId="77777777" w:rsidR="00E25D4D" w:rsidRPr="002617CF" w:rsidRDefault="00E25D4D" w:rsidP="00E25D4D">
      <w:pPr>
        <w:rPr>
          <w:rFonts w:asciiTheme="minorHAnsi" w:hAnsiTheme="minorHAnsi"/>
        </w:rPr>
      </w:pPr>
      <w:r w:rsidRPr="002617CF">
        <w:rPr>
          <w:rFonts w:asciiTheme="minorHAnsi" w:hAnsiTheme="minorHAnsi"/>
        </w:rPr>
        <w:t>We will recruit the brightest students with a particular focus on under-represented groups and provide opportunities for them to realise their potential at undergraduate and postgraduate level.</w:t>
      </w:r>
    </w:p>
    <w:p w14:paraId="1EAA1AE4" w14:textId="77777777" w:rsidR="00E25D4D" w:rsidRPr="002617CF" w:rsidRDefault="00E25D4D" w:rsidP="00E25D4D">
      <w:pPr>
        <w:rPr>
          <w:rFonts w:asciiTheme="minorHAnsi" w:hAnsiTheme="minorHAnsi"/>
        </w:rPr>
      </w:pPr>
    </w:p>
    <w:p w14:paraId="7ED664AE" w14:textId="77777777" w:rsidR="00E25D4D" w:rsidRPr="002617CF" w:rsidRDefault="00E25D4D" w:rsidP="00E25D4D">
      <w:pPr>
        <w:spacing w:line="276" w:lineRule="auto"/>
        <w:rPr>
          <w:rFonts w:asciiTheme="minorHAnsi" w:hAnsiTheme="minorHAnsi"/>
          <w:b/>
          <w:sz w:val="32"/>
        </w:rPr>
      </w:pPr>
      <w:r w:rsidRPr="002617CF">
        <w:rPr>
          <w:rFonts w:asciiTheme="minorHAnsi" w:hAnsiTheme="minorHAnsi"/>
          <w:b/>
          <w:sz w:val="32"/>
        </w:rPr>
        <w:t xml:space="preserve">Four Key Ambitions </w:t>
      </w:r>
    </w:p>
    <w:p w14:paraId="01E16ED6" w14:textId="77777777" w:rsidR="00E25D4D" w:rsidRPr="002617CF" w:rsidRDefault="00E25D4D" w:rsidP="00E25D4D">
      <w:pPr>
        <w:spacing w:line="276" w:lineRule="auto"/>
        <w:rPr>
          <w:rFonts w:asciiTheme="minorHAnsi" w:hAnsiTheme="minorHAnsi"/>
          <w:b/>
          <w:sz w:val="18"/>
          <w:szCs w:val="16"/>
        </w:rPr>
      </w:pPr>
    </w:p>
    <w:p w14:paraId="4065B287" w14:textId="77777777" w:rsidR="00E25D4D" w:rsidRPr="002617CF" w:rsidRDefault="00E25D4D" w:rsidP="00E25D4D">
      <w:pPr>
        <w:pStyle w:val="ListParagraph"/>
        <w:numPr>
          <w:ilvl w:val="0"/>
          <w:numId w:val="9"/>
        </w:numPr>
        <w:spacing w:after="0" w:line="276" w:lineRule="auto"/>
        <w:rPr>
          <w:b/>
          <w:sz w:val="28"/>
          <w:szCs w:val="24"/>
        </w:rPr>
      </w:pPr>
      <w:r w:rsidRPr="002617CF">
        <w:rPr>
          <w:b/>
          <w:sz w:val="28"/>
          <w:szCs w:val="24"/>
        </w:rPr>
        <w:t>Raising aspirations</w:t>
      </w:r>
    </w:p>
    <w:p w14:paraId="187EB406" w14:textId="77777777" w:rsidR="00E25D4D" w:rsidRPr="002617CF" w:rsidRDefault="00E25D4D" w:rsidP="00E25D4D">
      <w:pPr>
        <w:spacing w:line="276" w:lineRule="auto"/>
        <w:ind w:left="360"/>
        <w:rPr>
          <w:rFonts w:asciiTheme="minorHAnsi" w:hAnsiTheme="minorHAnsi"/>
        </w:rPr>
      </w:pPr>
      <w:r w:rsidRPr="002617CF">
        <w:rPr>
          <w:rFonts w:asciiTheme="minorHAnsi" w:hAnsiTheme="minorHAnsi"/>
          <w:b/>
        </w:rPr>
        <w:t>Our ambition:</w:t>
      </w:r>
      <w:r w:rsidRPr="002617CF">
        <w:rPr>
          <w:rFonts w:asciiTheme="minorHAnsi" w:hAnsiTheme="minorHAnsi"/>
        </w:rPr>
        <w:t xml:space="preserve"> To raise aspirations and promote higher education to traditionally under-represented groups.</w:t>
      </w:r>
    </w:p>
    <w:p w14:paraId="4FCCFF87" w14:textId="77777777" w:rsidR="00E25D4D" w:rsidRPr="002617CF" w:rsidRDefault="00E25D4D" w:rsidP="00E25D4D">
      <w:pPr>
        <w:spacing w:line="276" w:lineRule="auto"/>
        <w:ind w:left="360"/>
        <w:rPr>
          <w:rFonts w:asciiTheme="minorHAnsi" w:hAnsiTheme="minorHAnsi"/>
          <w:sz w:val="16"/>
          <w:szCs w:val="16"/>
        </w:rPr>
      </w:pPr>
    </w:p>
    <w:p w14:paraId="0673C479" w14:textId="77777777" w:rsidR="00E25D4D" w:rsidRPr="002617CF" w:rsidRDefault="00E25D4D" w:rsidP="00E25D4D">
      <w:pPr>
        <w:ind w:firstLine="360"/>
        <w:rPr>
          <w:rFonts w:asciiTheme="minorHAnsi" w:hAnsiTheme="minorHAnsi"/>
          <w:b/>
        </w:rPr>
      </w:pPr>
      <w:r w:rsidRPr="002617CF">
        <w:rPr>
          <w:rFonts w:asciiTheme="minorHAnsi" w:hAnsiTheme="minorHAnsi"/>
          <w:b/>
        </w:rPr>
        <w:t>We will:</w:t>
      </w:r>
    </w:p>
    <w:p w14:paraId="2245150C" w14:textId="77777777" w:rsidR="00E25D4D" w:rsidRPr="002617CF" w:rsidRDefault="00E25D4D" w:rsidP="00E25D4D">
      <w:pPr>
        <w:pStyle w:val="ListParagraph"/>
        <w:numPr>
          <w:ilvl w:val="0"/>
          <w:numId w:val="6"/>
        </w:numPr>
        <w:spacing w:after="0"/>
        <w:rPr>
          <w:sz w:val="24"/>
          <w:szCs w:val="24"/>
        </w:rPr>
      </w:pPr>
      <w:r w:rsidRPr="002617CF">
        <w:rPr>
          <w:sz w:val="24"/>
          <w:szCs w:val="24"/>
        </w:rPr>
        <w:t>Deliver an effective and sustainable programme of activity to raise aspiration and attainment, drawing on evidence of successful practices.</w:t>
      </w:r>
    </w:p>
    <w:p w14:paraId="4F4544F3" w14:textId="77777777" w:rsidR="00E25D4D" w:rsidRPr="002617CF" w:rsidRDefault="00E25D4D" w:rsidP="00E25D4D">
      <w:pPr>
        <w:pStyle w:val="ListParagraph"/>
        <w:numPr>
          <w:ilvl w:val="0"/>
          <w:numId w:val="6"/>
        </w:numPr>
        <w:spacing w:after="0"/>
        <w:rPr>
          <w:sz w:val="24"/>
          <w:szCs w:val="24"/>
        </w:rPr>
      </w:pPr>
      <w:r w:rsidRPr="002617CF">
        <w:rPr>
          <w:sz w:val="24"/>
          <w:szCs w:val="24"/>
        </w:rPr>
        <w:t>Work with regional partners to deliver collaborative initiatives to raise aspiration to higher education.</w:t>
      </w:r>
    </w:p>
    <w:p w14:paraId="2F730515" w14:textId="77777777" w:rsidR="00E25D4D" w:rsidRPr="002617CF" w:rsidRDefault="00E25D4D" w:rsidP="00E25D4D">
      <w:pPr>
        <w:pStyle w:val="ListParagraph"/>
        <w:numPr>
          <w:ilvl w:val="0"/>
          <w:numId w:val="6"/>
        </w:numPr>
        <w:spacing w:after="0"/>
        <w:rPr>
          <w:sz w:val="24"/>
          <w:szCs w:val="24"/>
        </w:rPr>
      </w:pPr>
      <w:r w:rsidRPr="002617CF">
        <w:rPr>
          <w:sz w:val="24"/>
          <w:szCs w:val="24"/>
        </w:rPr>
        <w:t>Focus activity in areas of traditionally low participation in higher education.</w:t>
      </w:r>
    </w:p>
    <w:p w14:paraId="6A96B232" w14:textId="77777777" w:rsidR="00E25D4D" w:rsidRPr="002617CF" w:rsidRDefault="00E25D4D" w:rsidP="00E25D4D">
      <w:pPr>
        <w:pStyle w:val="ListParagraph"/>
        <w:numPr>
          <w:ilvl w:val="0"/>
          <w:numId w:val="6"/>
        </w:numPr>
        <w:spacing w:after="0"/>
        <w:rPr>
          <w:sz w:val="24"/>
          <w:szCs w:val="24"/>
        </w:rPr>
      </w:pPr>
      <w:r w:rsidRPr="002617CF">
        <w:rPr>
          <w:sz w:val="24"/>
          <w:szCs w:val="24"/>
        </w:rPr>
        <w:t>Continue to identify under-represented groups to understand, and work to remove, their barriers to higher education, success and progression into employment or further study, including access to the professions.</w:t>
      </w:r>
    </w:p>
    <w:p w14:paraId="323F1184" w14:textId="77777777" w:rsidR="00E25D4D" w:rsidRPr="002617CF" w:rsidRDefault="00E25D4D" w:rsidP="00E25D4D">
      <w:pPr>
        <w:pStyle w:val="ListParagraph"/>
        <w:numPr>
          <w:ilvl w:val="0"/>
          <w:numId w:val="6"/>
        </w:numPr>
        <w:spacing w:after="0"/>
        <w:rPr>
          <w:sz w:val="24"/>
          <w:szCs w:val="24"/>
        </w:rPr>
      </w:pPr>
      <w:r w:rsidRPr="002617CF">
        <w:rPr>
          <w:sz w:val="24"/>
          <w:szCs w:val="24"/>
        </w:rPr>
        <w:t xml:space="preserve">Provide accessible and clear information about flexible access and progression routes into </w:t>
      </w:r>
      <w:proofErr w:type="gramStart"/>
      <w:r w:rsidRPr="002617CF">
        <w:rPr>
          <w:sz w:val="24"/>
          <w:szCs w:val="24"/>
        </w:rPr>
        <w:t>HE</w:t>
      </w:r>
      <w:proofErr w:type="gramEnd"/>
      <w:r w:rsidRPr="002617CF">
        <w:rPr>
          <w:sz w:val="24"/>
          <w:szCs w:val="24"/>
        </w:rPr>
        <w:t>, including a framework to support occasional study, to encourage participation of those from under-represented groups.</w:t>
      </w:r>
    </w:p>
    <w:p w14:paraId="388FB744" w14:textId="77777777" w:rsidR="00E25D4D" w:rsidRPr="002617CF" w:rsidRDefault="00E25D4D" w:rsidP="00E25D4D">
      <w:pPr>
        <w:ind w:left="720"/>
        <w:rPr>
          <w:rFonts w:asciiTheme="minorHAnsi" w:hAnsiTheme="minorHAnsi"/>
          <w:color w:val="7F7F7F" w:themeColor="text1" w:themeTint="80"/>
        </w:rPr>
      </w:pPr>
      <w:r w:rsidRPr="002617CF">
        <w:rPr>
          <w:rFonts w:asciiTheme="minorHAnsi" w:hAnsiTheme="minorHAnsi"/>
          <w:color w:val="7F7F7F" w:themeColor="text1" w:themeTint="80"/>
        </w:rPr>
        <w:t>Outcome indicators:</w:t>
      </w:r>
    </w:p>
    <w:p w14:paraId="7C767C06" w14:textId="77777777" w:rsidR="00E25D4D" w:rsidRPr="002617CF" w:rsidRDefault="00E25D4D" w:rsidP="00E25D4D">
      <w:pPr>
        <w:pStyle w:val="ListParagraph"/>
        <w:numPr>
          <w:ilvl w:val="0"/>
          <w:numId w:val="11"/>
        </w:numPr>
        <w:spacing w:after="0"/>
        <w:ind w:left="1080"/>
        <w:rPr>
          <w:color w:val="7F7F7F" w:themeColor="text1" w:themeTint="80"/>
          <w:szCs w:val="24"/>
        </w:rPr>
      </w:pPr>
      <w:r w:rsidRPr="002617CF">
        <w:rPr>
          <w:color w:val="7F7F7F" w:themeColor="text1" w:themeTint="80"/>
          <w:szCs w:val="24"/>
        </w:rPr>
        <w:t>Percentage of students from Communities First cluster areas or the bottom quintile of the lower super output areas in the Welsh index of multiple deprivation (All modes, levels and years of study).</w:t>
      </w:r>
    </w:p>
    <w:p w14:paraId="6880E797" w14:textId="77777777" w:rsidR="00E25D4D" w:rsidRPr="002617CF" w:rsidRDefault="00E25D4D" w:rsidP="00E25D4D">
      <w:pPr>
        <w:pStyle w:val="ListParagraph"/>
        <w:numPr>
          <w:ilvl w:val="0"/>
          <w:numId w:val="11"/>
        </w:numPr>
        <w:spacing w:after="0"/>
        <w:ind w:left="1080"/>
        <w:rPr>
          <w:color w:val="7F7F7F" w:themeColor="text1" w:themeTint="80"/>
          <w:sz w:val="24"/>
          <w:szCs w:val="24"/>
          <w:u w:val="single"/>
        </w:rPr>
      </w:pPr>
      <w:r w:rsidRPr="002617CF">
        <w:rPr>
          <w:color w:val="7F7F7F" w:themeColor="text1" w:themeTint="80"/>
          <w:szCs w:val="24"/>
        </w:rPr>
        <w:t>Percentage of full-time undergraduates from low-participation neighbourhoods (LPN) (POLAR data).</w:t>
      </w:r>
    </w:p>
    <w:p w14:paraId="34417DF9" w14:textId="77777777" w:rsidR="00E25D4D" w:rsidRPr="002617CF" w:rsidRDefault="00E25D4D" w:rsidP="00E25D4D">
      <w:pPr>
        <w:rPr>
          <w:rFonts w:asciiTheme="minorHAnsi" w:hAnsiTheme="minorHAnsi"/>
        </w:rPr>
      </w:pPr>
    </w:p>
    <w:p w14:paraId="4F8A856F" w14:textId="77777777" w:rsidR="00E25D4D" w:rsidRPr="002617CF" w:rsidRDefault="00E25D4D" w:rsidP="00E25D4D">
      <w:pPr>
        <w:pStyle w:val="ListParagraph"/>
        <w:numPr>
          <w:ilvl w:val="0"/>
          <w:numId w:val="9"/>
        </w:numPr>
        <w:spacing w:after="0" w:line="276" w:lineRule="auto"/>
        <w:rPr>
          <w:b/>
          <w:sz w:val="28"/>
          <w:szCs w:val="24"/>
        </w:rPr>
      </w:pPr>
      <w:r w:rsidRPr="002617CF">
        <w:rPr>
          <w:b/>
          <w:sz w:val="28"/>
          <w:szCs w:val="24"/>
        </w:rPr>
        <w:t>Fair recruitment and admissions</w:t>
      </w:r>
    </w:p>
    <w:p w14:paraId="102DD436" w14:textId="77777777" w:rsidR="00D81E8C" w:rsidRPr="002617CF" w:rsidRDefault="00E25D4D" w:rsidP="00146794">
      <w:pPr>
        <w:spacing w:line="276" w:lineRule="auto"/>
        <w:ind w:left="360"/>
        <w:rPr>
          <w:rFonts w:asciiTheme="minorHAnsi" w:hAnsiTheme="minorHAnsi"/>
        </w:rPr>
      </w:pPr>
      <w:r w:rsidRPr="002617CF">
        <w:rPr>
          <w:rFonts w:asciiTheme="minorHAnsi" w:hAnsiTheme="minorHAnsi"/>
          <w:b/>
        </w:rPr>
        <w:t>Our ambition:</w:t>
      </w:r>
      <w:r w:rsidRPr="002617CF">
        <w:rPr>
          <w:rFonts w:asciiTheme="minorHAnsi" w:hAnsiTheme="minorHAnsi"/>
        </w:rPr>
        <w:t xml:space="preserve"> To operate a system of recruitment and admissions that is f</w:t>
      </w:r>
      <w:r w:rsidR="00146794" w:rsidRPr="002617CF">
        <w:rPr>
          <w:rFonts w:asciiTheme="minorHAnsi" w:hAnsiTheme="minorHAnsi"/>
        </w:rPr>
        <w:t>air, transparent and inclusive.</w:t>
      </w:r>
    </w:p>
    <w:p w14:paraId="4932C9C6" w14:textId="77777777" w:rsidR="00146794" w:rsidRPr="002617CF" w:rsidRDefault="00146794" w:rsidP="00146794">
      <w:pPr>
        <w:spacing w:line="276" w:lineRule="auto"/>
        <w:ind w:left="360"/>
        <w:rPr>
          <w:rFonts w:asciiTheme="minorHAnsi" w:hAnsiTheme="minorHAnsi"/>
        </w:rPr>
      </w:pPr>
    </w:p>
    <w:p w14:paraId="3C738693" w14:textId="77777777" w:rsidR="00E25D4D" w:rsidRPr="002617CF" w:rsidRDefault="00E25D4D" w:rsidP="00E25D4D">
      <w:pPr>
        <w:ind w:firstLine="360"/>
        <w:rPr>
          <w:rFonts w:asciiTheme="minorHAnsi" w:hAnsiTheme="minorHAnsi"/>
          <w:b/>
        </w:rPr>
      </w:pPr>
      <w:r w:rsidRPr="002617CF">
        <w:rPr>
          <w:rFonts w:asciiTheme="minorHAnsi" w:hAnsiTheme="minorHAnsi"/>
          <w:b/>
        </w:rPr>
        <w:t>We will:</w:t>
      </w:r>
    </w:p>
    <w:p w14:paraId="36FE807B" w14:textId="77777777" w:rsidR="00E25D4D" w:rsidRPr="002617CF" w:rsidRDefault="00E25D4D" w:rsidP="00E25D4D">
      <w:pPr>
        <w:pStyle w:val="ListParagraph"/>
        <w:numPr>
          <w:ilvl w:val="0"/>
          <w:numId w:val="7"/>
        </w:numPr>
        <w:spacing w:after="0"/>
        <w:ind w:left="360"/>
        <w:rPr>
          <w:sz w:val="24"/>
          <w:szCs w:val="24"/>
        </w:rPr>
      </w:pPr>
      <w:r w:rsidRPr="002617CF">
        <w:rPr>
          <w:sz w:val="24"/>
          <w:szCs w:val="24"/>
        </w:rPr>
        <w:t xml:space="preserve">Apply our contextual admissions policy to assess applicants’ attainment potential in the context of the social and educational disadvantages they may have experienced. </w:t>
      </w:r>
    </w:p>
    <w:p w14:paraId="5C93C8AC" w14:textId="77777777" w:rsidR="00E25D4D" w:rsidRPr="002617CF" w:rsidRDefault="00E25D4D" w:rsidP="00E25D4D">
      <w:pPr>
        <w:pStyle w:val="ListParagraph"/>
        <w:numPr>
          <w:ilvl w:val="0"/>
          <w:numId w:val="7"/>
        </w:numPr>
        <w:spacing w:after="0"/>
        <w:ind w:left="360"/>
        <w:rPr>
          <w:sz w:val="24"/>
          <w:szCs w:val="24"/>
        </w:rPr>
      </w:pPr>
      <w:r w:rsidRPr="002617CF">
        <w:rPr>
          <w:sz w:val="24"/>
          <w:szCs w:val="24"/>
        </w:rPr>
        <w:t>Be responsive to national curriculum developments.</w:t>
      </w:r>
    </w:p>
    <w:p w14:paraId="2C864E18" w14:textId="77777777" w:rsidR="00E25D4D" w:rsidRPr="002617CF" w:rsidRDefault="00E25D4D" w:rsidP="00E25D4D">
      <w:pPr>
        <w:pStyle w:val="ListParagraph"/>
        <w:numPr>
          <w:ilvl w:val="0"/>
          <w:numId w:val="7"/>
        </w:numPr>
        <w:spacing w:after="0"/>
        <w:ind w:left="360"/>
        <w:rPr>
          <w:sz w:val="24"/>
          <w:szCs w:val="24"/>
        </w:rPr>
      </w:pPr>
      <w:r w:rsidRPr="002617CF">
        <w:rPr>
          <w:sz w:val="24"/>
          <w:szCs w:val="24"/>
        </w:rPr>
        <w:t xml:space="preserve">Provide clear, accurate and timely financial information and advice to support applicants’ </w:t>
      </w:r>
      <w:proofErr w:type="gramStart"/>
      <w:r w:rsidRPr="002617CF">
        <w:rPr>
          <w:sz w:val="24"/>
          <w:szCs w:val="24"/>
        </w:rPr>
        <w:t>decision making</w:t>
      </w:r>
      <w:proofErr w:type="gramEnd"/>
      <w:r w:rsidRPr="002617CF">
        <w:rPr>
          <w:sz w:val="24"/>
          <w:szCs w:val="24"/>
        </w:rPr>
        <w:t>.</w:t>
      </w:r>
    </w:p>
    <w:p w14:paraId="376EBFDE" w14:textId="77777777" w:rsidR="00E25D4D" w:rsidRPr="002617CF" w:rsidRDefault="00E25D4D" w:rsidP="00E25D4D">
      <w:pPr>
        <w:pStyle w:val="ListParagraph"/>
        <w:numPr>
          <w:ilvl w:val="0"/>
          <w:numId w:val="7"/>
        </w:numPr>
        <w:spacing w:after="0"/>
        <w:ind w:left="360"/>
        <w:rPr>
          <w:sz w:val="24"/>
          <w:szCs w:val="24"/>
        </w:rPr>
      </w:pPr>
      <w:r w:rsidRPr="002617CF">
        <w:rPr>
          <w:sz w:val="24"/>
          <w:szCs w:val="24"/>
        </w:rPr>
        <w:t>Provide a range of financial support measures aimed at removing financial circumstances as a barrier to study among those with the potential to succeed at Cardiff.</w:t>
      </w:r>
    </w:p>
    <w:p w14:paraId="2EC376A0" w14:textId="77777777" w:rsidR="00E25D4D" w:rsidRPr="002617CF" w:rsidRDefault="00E25D4D" w:rsidP="00E25D4D">
      <w:pPr>
        <w:pStyle w:val="ListParagraph"/>
        <w:numPr>
          <w:ilvl w:val="0"/>
          <w:numId w:val="7"/>
        </w:numPr>
        <w:spacing w:after="0"/>
        <w:ind w:left="360"/>
        <w:rPr>
          <w:sz w:val="24"/>
          <w:szCs w:val="24"/>
        </w:rPr>
      </w:pPr>
      <w:r w:rsidRPr="002617CF">
        <w:rPr>
          <w:sz w:val="24"/>
          <w:szCs w:val="24"/>
        </w:rPr>
        <w:t xml:space="preserve">Ensure our recruitment and admissions processes enable under-represented groups to access </w:t>
      </w:r>
      <w:proofErr w:type="gramStart"/>
      <w:r w:rsidRPr="002617CF">
        <w:rPr>
          <w:sz w:val="24"/>
          <w:szCs w:val="24"/>
        </w:rPr>
        <w:t>HE</w:t>
      </w:r>
      <w:proofErr w:type="gramEnd"/>
      <w:r w:rsidRPr="002617CF">
        <w:rPr>
          <w:sz w:val="24"/>
          <w:szCs w:val="24"/>
        </w:rPr>
        <w:t xml:space="preserve"> through clear, flexible access and progression routes, including through a framework to support occasional study.</w:t>
      </w:r>
    </w:p>
    <w:p w14:paraId="1BAA9CD6" w14:textId="77777777" w:rsidR="00E25D4D" w:rsidRPr="002617CF" w:rsidRDefault="00E25D4D" w:rsidP="00E25D4D">
      <w:pPr>
        <w:ind w:firstLine="720"/>
        <w:rPr>
          <w:rFonts w:asciiTheme="minorHAnsi" w:hAnsiTheme="minorHAnsi"/>
          <w:color w:val="7F7F7F" w:themeColor="text1" w:themeTint="80"/>
        </w:rPr>
      </w:pPr>
      <w:r w:rsidRPr="002617CF">
        <w:rPr>
          <w:rFonts w:asciiTheme="minorHAnsi" w:hAnsiTheme="minorHAnsi"/>
          <w:color w:val="7F7F7F" w:themeColor="text1" w:themeTint="80"/>
        </w:rPr>
        <w:t>Outcome indicators:</w:t>
      </w:r>
    </w:p>
    <w:p w14:paraId="7B4F86DE" w14:textId="77777777" w:rsidR="00E25D4D" w:rsidRPr="002617CF" w:rsidRDefault="00E25D4D" w:rsidP="00E25D4D">
      <w:pPr>
        <w:pStyle w:val="ListParagraph"/>
        <w:numPr>
          <w:ilvl w:val="0"/>
          <w:numId w:val="11"/>
        </w:numPr>
        <w:spacing w:after="0"/>
        <w:ind w:left="1080"/>
        <w:rPr>
          <w:color w:val="7F7F7F" w:themeColor="text1" w:themeTint="80"/>
          <w:szCs w:val="24"/>
        </w:rPr>
      </w:pPr>
      <w:r w:rsidRPr="002617CF">
        <w:rPr>
          <w:color w:val="7F7F7F" w:themeColor="text1" w:themeTint="80"/>
          <w:szCs w:val="24"/>
        </w:rPr>
        <w:t>Percentage of students from Communities First cluster areas or the bottom quintile of the lower super output areas in the Welsh index of multiple deprivation (All modes, levels and years of study).</w:t>
      </w:r>
    </w:p>
    <w:p w14:paraId="34F5FDA4" w14:textId="77777777" w:rsidR="00E25D4D" w:rsidRPr="002617CF" w:rsidRDefault="00E25D4D" w:rsidP="00E25D4D">
      <w:pPr>
        <w:pStyle w:val="ListParagraph"/>
        <w:numPr>
          <w:ilvl w:val="0"/>
          <w:numId w:val="11"/>
        </w:numPr>
        <w:spacing w:after="0"/>
        <w:ind w:left="1080"/>
        <w:rPr>
          <w:color w:val="7F7F7F" w:themeColor="text1" w:themeTint="80"/>
          <w:sz w:val="24"/>
          <w:szCs w:val="24"/>
          <w:u w:val="single"/>
        </w:rPr>
      </w:pPr>
      <w:r w:rsidRPr="002617CF">
        <w:rPr>
          <w:color w:val="7F7F7F" w:themeColor="text1" w:themeTint="80"/>
          <w:szCs w:val="24"/>
        </w:rPr>
        <w:t>Percentage of full-time undergraduates from low-participation neighbourhoods (LPN) (POLAR data).</w:t>
      </w:r>
    </w:p>
    <w:p w14:paraId="5C105451" w14:textId="77777777" w:rsidR="00E25D4D" w:rsidRPr="002617CF" w:rsidRDefault="00E25D4D" w:rsidP="00E25D4D">
      <w:pPr>
        <w:rPr>
          <w:rFonts w:asciiTheme="minorHAnsi" w:hAnsiTheme="minorHAnsi"/>
        </w:rPr>
      </w:pPr>
    </w:p>
    <w:p w14:paraId="797F9C29" w14:textId="77777777" w:rsidR="00E25D4D" w:rsidRPr="002617CF" w:rsidRDefault="00E25D4D" w:rsidP="00E25D4D">
      <w:pPr>
        <w:pStyle w:val="ListParagraph"/>
        <w:numPr>
          <w:ilvl w:val="0"/>
          <w:numId w:val="9"/>
        </w:numPr>
        <w:spacing w:after="0"/>
        <w:rPr>
          <w:b/>
          <w:sz w:val="28"/>
          <w:szCs w:val="24"/>
        </w:rPr>
      </w:pPr>
      <w:r w:rsidRPr="002617CF">
        <w:rPr>
          <w:b/>
          <w:sz w:val="28"/>
          <w:szCs w:val="24"/>
        </w:rPr>
        <w:t xml:space="preserve">Supporting students </w:t>
      </w:r>
    </w:p>
    <w:p w14:paraId="2F96D0F3" w14:textId="77777777" w:rsidR="00E25D4D" w:rsidRPr="002617CF" w:rsidRDefault="00E25D4D" w:rsidP="00E25D4D">
      <w:pPr>
        <w:ind w:left="360"/>
        <w:rPr>
          <w:rFonts w:asciiTheme="minorHAnsi" w:hAnsiTheme="minorHAnsi"/>
        </w:rPr>
      </w:pPr>
      <w:r w:rsidRPr="002617CF">
        <w:rPr>
          <w:rFonts w:asciiTheme="minorHAnsi" w:hAnsiTheme="minorHAnsi"/>
          <w:b/>
        </w:rPr>
        <w:t>Our ambition:</w:t>
      </w:r>
      <w:r w:rsidRPr="002617CF">
        <w:rPr>
          <w:rFonts w:asciiTheme="minorHAnsi" w:hAnsiTheme="minorHAnsi"/>
        </w:rPr>
        <w:t xml:space="preserve"> To provide high quality, effective, timely and comprehensive support to students from transition into higher education and the achievement of successful outcomes. </w:t>
      </w:r>
    </w:p>
    <w:p w14:paraId="47DABE16" w14:textId="77777777" w:rsidR="00E25D4D" w:rsidRPr="002617CF" w:rsidRDefault="00E25D4D" w:rsidP="00E25D4D">
      <w:pPr>
        <w:rPr>
          <w:rFonts w:asciiTheme="minorHAnsi" w:hAnsiTheme="minorHAnsi"/>
          <w:sz w:val="16"/>
          <w:szCs w:val="16"/>
        </w:rPr>
      </w:pPr>
      <w:r w:rsidRPr="002617CF">
        <w:rPr>
          <w:rFonts w:asciiTheme="minorHAnsi" w:hAnsiTheme="minorHAnsi"/>
          <w:sz w:val="16"/>
          <w:szCs w:val="16"/>
        </w:rPr>
        <w:tab/>
      </w:r>
    </w:p>
    <w:p w14:paraId="2DBB3A98" w14:textId="77777777" w:rsidR="00E25D4D" w:rsidRPr="002617CF" w:rsidRDefault="00E25D4D" w:rsidP="00E25D4D">
      <w:pPr>
        <w:ind w:firstLine="360"/>
        <w:rPr>
          <w:rFonts w:asciiTheme="minorHAnsi" w:hAnsiTheme="minorHAnsi"/>
          <w:b/>
        </w:rPr>
      </w:pPr>
      <w:r w:rsidRPr="002617CF">
        <w:rPr>
          <w:rFonts w:asciiTheme="minorHAnsi" w:hAnsiTheme="minorHAnsi"/>
          <w:b/>
        </w:rPr>
        <w:t>We will:</w:t>
      </w:r>
    </w:p>
    <w:p w14:paraId="02C3A294" w14:textId="77777777" w:rsidR="00E25D4D" w:rsidRPr="002617CF" w:rsidRDefault="00E25D4D" w:rsidP="00E25D4D">
      <w:pPr>
        <w:pStyle w:val="ListParagraph"/>
        <w:numPr>
          <w:ilvl w:val="0"/>
          <w:numId w:val="8"/>
        </w:numPr>
        <w:spacing w:after="0"/>
        <w:rPr>
          <w:sz w:val="24"/>
          <w:szCs w:val="24"/>
        </w:rPr>
      </w:pPr>
      <w:r w:rsidRPr="002617CF">
        <w:rPr>
          <w:sz w:val="24"/>
          <w:szCs w:val="24"/>
        </w:rPr>
        <w:t xml:space="preserve">Provide access to advice and support on a wide range of personal, financial and academic </w:t>
      </w:r>
      <w:proofErr w:type="gramStart"/>
      <w:r w:rsidRPr="002617CF">
        <w:rPr>
          <w:sz w:val="24"/>
          <w:szCs w:val="24"/>
        </w:rPr>
        <w:t>matters which</w:t>
      </w:r>
      <w:proofErr w:type="gramEnd"/>
      <w:r w:rsidRPr="002617CF">
        <w:rPr>
          <w:sz w:val="24"/>
          <w:szCs w:val="24"/>
        </w:rPr>
        <w:t xml:space="preserve"> enable the student to make their own decisions about their learning and their future.</w:t>
      </w:r>
    </w:p>
    <w:p w14:paraId="2640B493" w14:textId="77777777" w:rsidR="00E25D4D" w:rsidRPr="002617CF" w:rsidRDefault="00E25D4D" w:rsidP="00E25D4D">
      <w:pPr>
        <w:pStyle w:val="ListParagraph"/>
        <w:numPr>
          <w:ilvl w:val="0"/>
          <w:numId w:val="8"/>
        </w:numPr>
        <w:spacing w:after="0"/>
        <w:rPr>
          <w:sz w:val="24"/>
          <w:szCs w:val="24"/>
        </w:rPr>
      </w:pPr>
      <w:r w:rsidRPr="002617CF">
        <w:rPr>
          <w:sz w:val="24"/>
          <w:szCs w:val="24"/>
        </w:rPr>
        <w:t xml:space="preserve">Provide </w:t>
      </w:r>
      <w:proofErr w:type="gramStart"/>
      <w:r w:rsidRPr="002617CF">
        <w:rPr>
          <w:sz w:val="24"/>
          <w:szCs w:val="24"/>
        </w:rPr>
        <w:t>measures which</w:t>
      </w:r>
      <w:proofErr w:type="gramEnd"/>
      <w:r w:rsidRPr="002617CF">
        <w:rPr>
          <w:sz w:val="24"/>
          <w:szCs w:val="24"/>
        </w:rPr>
        <w:t xml:space="preserve"> help people who face crises or additional obstacles during their studies, such as financial hardship.</w:t>
      </w:r>
    </w:p>
    <w:p w14:paraId="1B5C36B6" w14:textId="77777777" w:rsidR="00E25D4D" w:rsidRPr="002617CF" w:rsidRDefault="00E25D4D" w:rsidP="00E25D4D">
      <w:pPr>
        <w:pStyle w:val="ListParagraph"/>
        <w:numPr>
          <w:ilvl w:val="0"/>
          <w:numId w:val="8"/>
        </w:numPr>
        <w:spacing w:after="0"/>
        <w:rPr>
          <w:sz w:val="24"/>
          <w:szCs w:val="24"/>
        </w:rPr>
      </w:pPr>
      <w:r w:rsidRPr="002617CF">
        <w:rPr>
          <w:sz w:val="24"/>
          <w:szCs w:val="24"/>
        </w:rPr>
        <w:t>Recognise the specific needs of different groups of students and develop tailored support services to meet their needs, particularly focussing on those who face specific obstacles to success.</w:t>
      </w:r>
    </w:p>
    <w:p w14:paraId="3BAB9D4A" w14:textId="77777777" w:rsidR="00E25D4D" w:rsidRPr="002617CF" w:rsidRDefault="00E25D4D" w:rsidP="00E25D4D">
      <w:pPr>
        <w:pStyle w:val="ListParagraph"/>
        <w:numPr>
          <w:ilvl w:val="0"/>
          <w:numId w:val="8"/>
        </w:numPr>
        <w:rPr>
          <w:sz w:val="24"/>
          <w:szCs w:val="24"/>
        </w:rPr>
      </w:pPr>
      <w:r w:rsidRPr="002617CF">
        <w:rPr>
          <w:sz w:val="24"/>
          <w:szCs w:val="24"/>
        </w:rPr>
        <w:t xml:space="preserve">Seek to enable student success and enhance the employability and transferable skills of students from all backgrounds.  This </w:t>
      </w:r>
      <w:proofErr w:type="gramStart"/>
      <w:r w:rsidRPr="002617CF">
        <w:rPr>
          <w:sz w:val="24"/>
          <w:szCs w:val="24"/>
        </w:rPr>
        <w:t>will be tailored</w:t>
      </w:r>
      <w:proofErr w:type="gramEnd"/>
      <w:r w:rsidRPr="002617CF">
        <w:rPr>
          <w:sz w:val="24"/>
          <w:szCs w:val="24"/>
        </w:rPr>
        <w:t>, when required, and responsive to effective referral.</w:t>
      </w:r>
    </w:p>
    <w:p w14:paraId="41BDEA10" w14:textId="77777777" w:rsidR="00E25D4D" w:rsidRPr="002617CF" w:rsidRDefault="00E25D4D" w:rsidP="00E25D4D">
      <w:pPr>
        <w:ind w:firstLine="720"/>
        <w:rPr>
          <w:rFonts w:asciiTheme="minorHAnsi" w:hAnsiTheme="minorHAnsi"/>
          <w:color w:val="7F7F7F" w:themeColor="text1" w:themeTint="80"/>
        </w:rPr>
      </w:pPr>
      <w:r w:rsidRPr="002617CF">
        <w:rPr>
          <w:rFonts w:asciiTheme="minorHAnsi" w:hAnsiTheme="minorHAnsi"/>
          <w:color w:val="7F7F7F" w:themeColor="text1" w:themeTint="80"/>
        </w:rPr>
        <w:t>Outcome indicators</w:t>
      </w:r>
    </w:p>
    <w:p w14:paraId="2DC93AE9" w14:textId="77777777" w:rsidR="00E25D4D" w:rsidRPr="002617CF" w:rsidRDefault="00E25D4D" w:rsidP="00E25D4D">
      <w:pPr>
        <w:pStyle w:val="ListParagraph"/>
        <w:numPr>
          <w:ilvl w:val="0"/>
          <w:numId w:val="11"/>
        </w:numPr>
        <w:spacing w:after="0"/>
        <w:ind w:left="1080"/>
        <w:rPr>
          <w:color w:val="7F7F7F" w:themeColor="text1" w:themeTint="80"/>
          <w:szCs w:val="24"/>
        </w:rPr>
      </w:pPr>
      <w:r w:rsidRPr="002617CF">
        <w:rPr>
          <w:color w:val="7F7F7F" w:themeColor="text1" w:themeTint="80"/>
          <w:szCs w:val="24"/>
        </w:rPr>
        <w:t xml:space="preserve">Percentage of </w:t>
      </w:r>
      <w:proofErr w:type="gramStart"/>
      <w:r w:rsidRPr="002617CF">
        <w:rPr>
          <w:color w:val="7F7F7F" w:themeColor="text1" w:themeTint="80"/>
          <w:szCs w:val="24"/>
        </w:rPr>
        <w:t>first degree</w:t>
      </w:r>
      <w:proofErr w:type="gramEnd"/>
      <w:r w:rsidRPr="002617CF">
        <w:rPr>
          <w:color w:val="7F7F7F" w:themeColor="text1" w:themeTint="80"/>
          <w:szCs w:val="24"/>
        </w:rPr>
        <w:t xml:space="preserve"> full time entrants no longer in HE following year of entry. (Young entrants from low participation neighbourhoods and mature</w:t>
      </w:r>
      <w:r w:rsidRPr="002617CF">
        <w:rPr>
          <w:iCs/>
          <w:color w:val="7F7F7F" w:themeColor="text1" w:themeTint="80"/>
          <w:szCs w:val="24"/>
        </w:rPr>
        <w:t xml:space="preserve"> entrants with no previous higher education qualification).</w:t>
      </w:r>
    </w:p>
    <w:p w14:paraId="1BE5C0FB" w14:textId="77777777" w:rsidR="00E25D4D" w:rsidRPr="002617CF" w:rsidRDefault="00E25D4D" w:rsidP="00E25D4D">
      <w:pPr>
        <w:pStyle w:val="ListParagraph"/>
        <w:numPr>
          <w:ilvl w:val="0"/>
          <w:numId w:val="11"/>
        </w:numPr>
        <w:spacing w:after="0"/>
        <w:ind w:left="1080"/>
        <w:rPr>
          <w:color w:val="7F7F7F" w:themeColor="text1" w:themeTint="80"/>
          <w:szCs w:val="24"/>
        </w:rPr>
      </w:pPr>
      <w:r w:rsidRPr="002617CF">
        <w:rPr>
          <w:color w:val="7F7F7F" w:themeColor="text1" w:themeTint="80"/>
          <w:szCs w:val="24"/>
        </w:rPr>
        <w:t>Non-progression rates for male students, BME students, and disabled students.</w:t>
      </w:r>
    </w:p>
    <w:p w14:paraId="582929D6" w14:textId="77777777" w:rsidR="00D81E8C" w:rsidRPr="002617CF" w:rsidRDefault="00E25D4D" w:rsidP="0080198D">
      <w:pPr>
        <w:pStyle w:val="ListParagraph"/>
        <w:numPr>
          <w:ilvl w:val="0"/>
          <w:numId w:val="11"/>
        </w:numPr>
        <w:spacing w:after="0"/>
        <w:ind w:left="1080"/>
        <w:rPr>
          <w:color w:val="7F7F7F" w:themeColor="text1" w:themeTint="80"/>
        </w:rPr>
      </w:pPr>
      <w:r w:rsidRPr="002617CF">
        <w:rPr>
          <w:color w:val="7F7F7F" w:themeColor="text1" w:themeTint="80"/>
          <w:szCs w:val="24"/>
        </w:rPr>
        <w:t>Attainment gap (the difference between undergraduate students achieving a first/2:1) between: males and females and between BME and white students (UK fee status students only).</w:t>
      </w:r>
    </w:p>
    <w:p w14:paraId="3E36C99D" w14:textId="77777777" w:rsidR="00E25D4D" w:rsidRPr="002617CF" w:rsidRDefault="00E25D4D" w:rsidP="00E25D4D">
      <w:pPr>
        <w:pStyle w:val="ListParagraph"/>
        <w:numPr>
          <w:ilvl w:val="0"/>
          <w:numId w:val="11"/>
        </w:numPr>
        <w:spacing w:after="0"/>
        <w:ind w:left="1080"/>
        <w:rPr>
          <w:color w:val="7F7F7F" w:themeColor="text1" w:themeTint="80"/>
          <w:szCs w:val="24"/>
        </w:rPr>
      </w:pPr>
      <w:r w:rsidRPr="002617CF">
        <w:rPr>
          <w:color w:val="7F7F7F" w:themeColor="text1" w:themeTint="80"/>
          <w:szCs w:val="24"/>
        </w:rPr>
        <w:t>The proportion of male and female students studying non-traditional subject choices at Cardiff University.</w:t>
      </w:r>
    </w:p>
    <w:p w14:paraId="0644C795" w14:textId="77777777" w:rsidR="006670A3" w:rsidRDefault="006670A3" w:rsidP="006670A3">
      <w:pPr>
        <w:pStyle w:val="ListParagraph"/>
        <w:spacing w:after="0"/>
        <w:ind w:left="360"/>
        <w:rPr>
          <w:b/>
          <w:sz w:val="28"/>
          <w:szCs w:val="24"/>
        </w:rPr>
      </w:pPr>
    </w:p>
    <w:p w14:paraId="56E161D4" w14:textId="77777777" w:rsidR="00E25D4D" w:rsidRPr="002617CF" w:rsidRDefault="00E25D4D" w:rsidP="00E25D4D">
      <w:pPr>
        <w:pStyle w:val="ListParagraph"/>
        <w:numPr>
          <w:ilvl w:val="0"/>
          <w:numId w:val="9"/>
        </w:numPr>
        <w:spacing w:after="0"/>
        <w:rPr>
          <w:b/>
          <w:sz w:val="28"/>
          <w:szCs w:val="24"/>
        </w:rPr>
      </w:pPr>
      <w:r w:rsidRPr="002617CF">
        <w:rPr>
          <w:b/>
          <w:sz w:val="28"/>
          <w:szCs w:val="24"/>
        </w:rPr>
        <w:t xml:space="preserve">Research and evaluation </w:t>
      </w:r>
    </w:p>
    <w:p w14:paraId="1F72DB08" w14:textId="77777777" w:rsidR="00E25D4D" w:rsidRPr="002617CF" w:rsidRDefault="00E25D4D" w:rsidP="00E25D4D">
      <w:pPr>
        <w:ind w:left="360"/>
        <w:rPr>
          <w:rFonts w:asciiTheme="minorHAnsi" w:hAnsiTheme="minorHAnsi"/>
        </w:rPr>
      </w:pPr>
      <w:r w:rsidRPr="002617CF">
        <w:rPr>
          <w:rFonts w:asciiTheme="minorHAnsi" w:hAnsiTheme="minorHAnsi"/>
          <w:b/>
        </w:rPr>
        <w:t>Our ambition</w:t>
      </w:r>
      <w:r w:rsidRPr="002617CF">
        <w:rPr>
          <w:rFonts w:asciiTheme="minorHAnsi" w:hAnsiTheme="minorHAnsi"/>
        </w:rPr>
        <w:t xml:space="preserve">: To continue to develop an evidence informed approach to our widening participation strategy, plans and activities. </w:t>
      </w:r>
    </w:p>
    <w:p w14:paraId="144993A8" w14:textId="77777777" w:rsidR="00146794" w:rsidRPr="002617CF" w:rsidRDefault="00146794" w:rsidP="00E25D4D">
      <w:pPr>
        <w:ind w:left="360"/>
        <w:rPr>
          <w:rFonts w:asciiTheme="minorHAnsi" w:hAnsiTheme="minorHAnsi"/>
        </w:rPr>
      </w:pPr>
    </w:p>
    <w:p w14:paraId="65B24E06" w14:textId="77777777" w:rsidR="00E25D4D" w:rsidRPr="002617CF" w:rsidRDefault="00E25D4D" w:rsidP="00E25D4D">
      <w:pPr>
        <w:rPr>
          <w:rFonts w:asciiTheme="minorHAnsi" w:hAnsiTheme="minorHAnsi"/>
          <w:sz w:val="16"/>
          <w:szCs w:val="16"/>
        </w:rPr>
      </w:pPr>
    </w:p>
    <w:p w14:paraId="04682CA7" w14:textId="77777777" w:rsidR="00E25D4D" w:rsidRPr="002617CF" w:rsidRDefault="00E25D4D" w:rsidP="00E25D4D">
      <w:pPr>
        <w:ind w:firstLine="360"/>
        <w:rPr>
          <w:rFonts w:asciiTheme="minorHAnsi" w:hAnsiTheme="minorHAnsi"/>
          <w:b/>
        </w:rPr>
      </w:pPr>
      <w:r w:rsidRPr="002617CF">
        <w:rPr>
          <w:rFonts w:asciiTheme="minorHAnsi" w:hAnsiTheme="minorHAnsi"/>
          <w:b/>
        </w:rPr>
        <w:t>We will:</w:t>
      </w:r>
    </w:p>
    <w:p w14:paraId="2B85A86F" w14:textId="77777777" w:rsidR="00E25D4D" w:rsidRPr="002617CF" w:rsidRDefault="00E25D4D" w:rsidP="00E25D4D">
      <w:pPr>
        <w:pStyle w:val="ListParagraph"/>
        <w:numPr>
          <w:ilvl w:val="0"/>
          <w:numId w:val="10"/>
        </w:numPr>
        <w:spacing w:after="0"/>
        <w:rPr>
          <w:sz w:val="24"/>
          <w:szCs w:val="24"/>
        </w:rPr>
      </w:pPr>
      <w:r w:rsidRPr="002617CF">
        <w:rPr>
          <w:sz w:val="24"/>
          <w:szCs w:val="24"/>
        </w:rPr>
        <w:t>Continue to monitor and evaluate our widening participation activities to ensure they are effective and have the intended impact on identified groups.</w:t>
      </w:r>
    </w:p>
    <w:p w14:paraId="419B72C8" w14:textId="77777777" w:rsidR="00E25D4D" w:rsidRPr="002617CF" w:rsidRDefault="00E25D4D" w:rsidP="00E25D4D">
      <w:pPr>
        <w:pStyle w:val="ListParagraph"/>
        <w:numPr>
          <w:ilvl w:val="0"/>
          <w:numId w:val="10"/>
        </w:numPr>
        <w:spacing w:after="0"/>
        <w:rPr>
          <w:sz w:val="24"/>
          <w:szCs w:val="24"/>
        </w:rPr>
      </w:pPr>
      <w:r w:rsidRPr="002617CF">
        <w:rPr>
          <w:sz w:val="24"/>
          <w:szCs w:val="24"/>
        </w:rPr>
        <w:t>Monitor the composition of our student body and our progress against targets for access retention and progression into employment and further study.</w:t>
      </w:r>
    </w:p>
    <w:p w14:paraId="038F2EF0" w14:textId="77777777" w:rsidR="00E25D4D" w:rsidRPr="002617CF" w:rsidRDefault="00E25D4D" w:rsidP="00E25D4D">
      <w:pPr>
        <w:pStyle w:val="ListParagraph"/>
        <w:numPr>
          <w:ilvl w:val="0"/>
          <w:numId w:val="10"/>
        </w:numPr>
        <w:spacing w:after="0"/>
        <w:rPr>
          <w:sz w:val="24"/>
          <w:szCs w:val="24"/>
        </w:rPr>
      </w:pPr>
      <w:r w:rsidRPr="002617CF">
        <w:rPr>
          <w:sz w:val="24"/>
          <w:szCs w:val="24"/>
        </w:rPr>
        <w:t>Celebrate and promote successes in our widening participation work.</w:t>
      </w:r>
    </w:p>
    <w:p w14:paraId="27085D38" w14:textId="77777777" w:rsidR="00E25D4D" w:rsidRPr="002617CF" w:rsidRDefault="00E25D4D" w:rsidP="00E25D4D">
      <w:pPr>
        <w:rPr>
          <w:rFonts w:asciiTheme="minorHAnsi" w:hAnsiTheme="minorHAnsi"/>
        </w:rPr>
      </w:pPr>
    </w:p>
    <w:p w14:paraId="06ECF162" w14:textId="77777777" w:rsidR="00E25D4D" w:rsidRPr="002617CF" w:rsidRDefault="00E25D4D" w:rsidP="00E25D4D">
      <w:pPr>
        <w:rPr>
          <w:rFonts w:asciiTheme="minorHAnsi" w:hAnsiTheme="minorHAnsi"/>
        </w:rPr>
      </w:pPr>
    </w:p>
    <w:p w14:paraId="4AF4ED61" w14:textId="77777777" w:rsidR="00E25D4D" w:rsidRPr="002617CF" w:rsidRDefault="00E25D4D" w:rsidP="00E25D4D">
      <w:pPr>
        <w:rPr>
          <w:rFonts w:asciiTheme="minorHAnsi" w:hAnsiTheme="minorHAnsi"/>
        </w:rPr>
      </w:pPr>
    </w:p>
    <w:p w14:paraId="31438598" w14:textId="77777777" w:rsidR="00E25D4D" w:rsidRPr="002617CF" w:rsidRDefault="00E25D4D" w:rsidP="00E25D4D">
      <w:pPr>
        <w:rPr>
          <w:rFonts w:asciiTheme="minorHAnsi" w:hAnsiTheme="minorHAnsi"/>
        </w:rPr>
      </w:pPr>
    </w:p>
    <w:p w14:paraId="0668EC84" w14:textId="77777777" w:rsidR="00E25D4D" w:rsidRPr="002617CF" w:rsidRDefault="00E25D4D" w:rsidP="00E25D4D">
      <w:pPr>
        <w:rPr>
          <w:rFonts w:asciiTheme="minorHAnsi" w:hAnsiTheme="minorHAnsi"/>
        </w:rPr>
      </w:pPr>
    </w:p>
    <w:p w14:paraId="024644B2" w14:textId="77777777" w:rsidR="00E25D4D" w:rsidRPr="002617CF" w:rsidRDefault="00E25D4D" w:rsidP="00E25D4D">
      <w:pPr>
        <w:rPr>
          <w:rFonts w:asciiTheme="minorHAnsi" w:hAnsiTheme="minorHAnsi"/>
        </w:rPr>
      </w:pPr>
    </w:p>
    <w:p w14:paraId="5CC611BE" w14:textId="77777777" w:rsidR="00E25D4D" w:rsidRPr="002617CF" w:rsidRDefault="00E25D4D" w:rsidP="00E25D4D">
      <w:pPr>
        <w:rPr>
          <w:rFonts w:asciiTheme="minorHAnsi" w:hAnsiTheme="minorHAnsi"/>
        </w:rPr>
      </w:pPr>
    </w:p>
    <w:p w14:paraId="35A37EE4" w14:textId="77777777" w:rsidR="00E25D4D" w:rsidRPr="002617CF" w:rsidRDefault="00E25D4D" w:rsidP="00E25D4D">
      <w:pPr>
        <w:rPr>
          <w:rFonts w:asciiTheme="minorHAnsi" w:hAnsiTheme="minorHAnsi"/>
        </w:rPr>
      </w:pPr>
    </w:p>
    <w:p w14:paraId="5C47CBA4" w14:textId="77777777" w:rsidR="00E25D4D" w:rsidRPr="002617CF" w:rsidRDefault="00E25D4D" w:rsidP="00E25D4D">
      <w:pPr>
        <w:rPr>
          <w:rFonts w:asciiTheme="minorHAnsi" w:hAnsiTheme="minorHAnsi"/>
        </w:rPr>
      </w:pPr>
    </w:p>
    <w:p w14:paraId="495C321D" w14:textId="77777777" w:rsidR="00E25D4D" w:rsidRPr="002617CF" w:rsidRDefault="00E25D4D" w:rsidP="00E25D4D">
      <w:pPr>
        <w:rPr>
          <w:rFonts w:asciiTheme="minorHAnsi" w:hAnsiTheme="minorHAnsi"/>
        </w:rPr>
      </w:pPr>
    </w:p>
    <w:p w14:paraId="70FB4CB6" w14:textId="77777777" w:rsidR="00E25D4D" w:rsidRPr="002617CF" w:rsidRDefault="00E25D4D" w:rsidP="00E25D4D">
      <w:pPr>
        <w:rPr>
          <w:rFonts w:asciiTheme="minorHAnsi" w:hAnsiTheme="minorHAnsi"/>
        </w:rPr>
      </w:pPr>
    </w:p>
    <w:p w14:paraId="73BADB93" w14:textId="77777777" w:rsidR="00E25D4D" w:rsidRPr="002617CF" w:rsidRDefault="00E25D4D" w:rsidP="00E25D4D">
      <w:pPr>
        <w:rPr>
          <w:rFonts w:asciiTheme="minorHAnsi" w:hAnsiTheme="minorHAnsi"/>
        </w:rPr>
      </w:pPr>
    </w:p>
    <w:p w14:paraId="6286812C" w14:textId="77777777" w:rsidR="00E25D4D" w:rsidRPr="002617CF" w:rsidRDefault="00E25D4D" w:rsidP="00E25D4D">
      <w:pPr>
        <w:rPr>
          <w:rFonts w:asciiTheme="minorHAnsi" w:hAnsiTheme="minorHAnsi"/>
        </w:rPr>
      </w:pPr>
    </w:p>
    <w:p w14:paraId="5D166F0B" w14:textId="77777777" w:rsidR="00E25D4D" w:rsidRPr="002617CF" w:rsidRDefault="00E25D4D" w:rsidP="00E25D4D">
      <w:pPr>
        <w:rPr>
          <w:rFonts w:asciiTheme="minorHAnsi" w:hAnsiTheme="minorHAnsi"/>
        </w:rPr>
      </w:pPr>
    </w:p>
    <w:p w14:paraId="40AECEB7" w14:textId="77777777" w:rsidR="00E25D4D" w:rsidRPr="002617CF" w:rsidRDefault="00E25D4D" w:rsidP="00E25D4D">
      <w:pPr>
        <w:rPr>
          <w:rFonts w:asciiTheme="minorHAnsi" w:hAnsiTheme="minorHAnsi"/>
        </w:rPr>
      </w:pPr>
    </w:p>
    <w:p w14:paraId="0D3D1488" w14:textId="77777777" w:rsidR="00E25D4D" w:rsidRPr="002617CF" w:rsidRDefault="00E25D4D" w:rsidP="00E25D4D">
      <w:pPr>
        <w:rPr>
          <w:rFonts w:asciiTheme="minorHAnsi" w:hAnsiTheme="minorHAnsi"/>
        </w:rPr>
      </w:pPr>
    </w:p>
    <w:p w14:paraId="2721205F" w14:textId="77777777" w:rsidR="00617517" w:rsidRDefault="00617517" w:rsidP="00E25D4D">
      <w:pPr>
        <w:rPr>
          <w:rFonts w:asciiTheme="minorHAnsi" w:hAnsiTheme="minorHAnsi"/>
          <w:b/>
        </w:rPr>
      </w:pPr>
    </w:p>
    <w:p w14:paraId="1632A08B" w14:textId="77777777" w:rsidR="00E25D4D" w:rsidRDefault="008D1B9C" w:rsidP="00E25D4D">
      <w:pPr>
        <w:rPr>
          <w:rFonts w:asciiTheme="minorHAnsi" w:hAnsiTheme="minorHAnsi"/>
          <w:b/>
        </w:rPr>
      </w:pPr>
      <w:r w:rsidRPr="002617CF">
        <w:rPr>
          <w:rFonts w:asciiTheme="minorHAnsi" w:hAnsiTheme="minorHAnsi"/>
          <w:b/>
        </w:rPr>
        <w:t>Annex B</w:t>
      </w:r>
    </w:p>
    <w:p w14:paraId="75230473" w14:textId="77777777" w:rsidR="00E44D08" w:rsidRPr="002617CF" w:rsidRDefault="00E44D08" w:rsidP="00E25D4D">
      <w:pPr>
        <w:rPr>
          <w:rFonts w:asciiTheme="minorHAnsi" w:hAnsiTheme="minorHAnsi"/>
        </w:rPr>
      </w:pPr>
    </w:p>
    <w:p w14:paraId="1EF36580" w14:textId="5AB639CE" w:rsidR="00E25D4D" w:rsidRPr="002617CF" w:rsidRDefault="00E25D4D" w:rsidP="00E25D4D">
      <w:pPr>
        <w:jc w:val="center"/>
        <w:rPr>
          <w:rFonts w:asciiTheme="minorHAnsi" w:hAnsiTheme="minorHAnsi"/>
          <w:b/>
          <w:sz w:val="28"/>
        </w:rPr>
      </w:pPr>
      <w:r w:rsidRPr="002617CF">
        <w:rPr>
          <w:rFonts w:asciiTheme="minorHAnsi" w:hAnsiTheme="minorHAnsi"/>
          <w:b/>
          <w:sz w:val="28"/>
        </w:rPr>
        <w:t>Cardiff University Widening Participation Strategy</w:t>
      </w:r>
      <w:r w:rsidR="00E44D08">
        <w:rPr>
          <w:rFonts w:asciiTheme="minorHAnsi" w:hAnsiTheme="minorHAnsi"/>
          <w:b/>
          <w:sz w:val="28"/>
        </w:rPr>
        <w:t>: Identification of t</w:t>
      </w:r>
      <w:r w:rsidR="00CF223F">
        <w:rPr>
          <w:rFonts w:asciiTheme="minorHAnsi" w:hAnsiTheme="minorHAnsi"/>
          <w:b/>
          <w:sz w:val="28"/>
        </w:rPr>
        <w:t>arget groups and indicators</w:t>
      </w:r>
    </w:p>
    <w:p w14:paraId="7A89ABEC" w14:textId="77777777" w:rsidR="00E25D4D" w:rsidRPr="002617CF" w:rsidRDefault="00E25D4D" w:rsidP="00E25D4D">
      <w:pPr>
        <w:pStyle w:val="ListParagraph"/>
        <w:numPr>
          <w:ilvl w:val="0"/>
          <w:numId w:val="12"/>
        </w:numPr>
        <w:spacing w:before="360"/>
        <w:ind w:left="426" w:hanging="426"/>
      </w:pPr>
      <w:r w:rsidRPr="002617CF">
        <w:rPr>
          <w:b/>
        </w:rPr>
        <w:t>Summary</w:t>
      </w:r>
    </w:p>
    <w:p w14:paraId="0E95876E" w14:textId="77777777" w:rsidR="00E25D4D" w:rsidRPr="002617CF" w:rsidRDefault="00E25D4D" w:rsidP="00E25D4D">
      <w:pPr>
        <w:rPr>
          <w:rFonts w:asciiTheme="minorHAnsi" w:hAnsiTheme="minorHAnsi"/>
        </w:rPr>
      </w:pPr>
      <w:r w:rsidRPr="002617CF">
        <w:rPr>
          <w:rFonts w:asciiTheme="minorHAnsi" w:hAnsiTheme="minorHAnsi"/>
        </w:rPr>
        <w:t xml:space="preserve">On 2 March </w:t>
      </w:r>
      <w:proofErr w:type="gramStart"/>
      <w:r w:rsidRPr="002617CF">
        <w:rPr>
          <w:rFonts w:asciiTheme="minorHAnsi" w:hAnsiTheme="minorHAnsi"/>
        </w:rPr>
        <w:t>2016</w:t>
      </w:r>
      <w:proofErr w:type="gramEnd"/>
      <w:r w:rsidRPr="002617CF">
        <w:rPr>
          <w:rFonts w:asciiTheme="minorHAnsi" w:hAnsiTheme="minorHAnsi"/>
        </w:rPr>
        <w:t xml:space="preserve"> the WP coordinating group reviewed national and Cardiff University evidence on under-represented groups, to inform the University’s WP strategy. The PVC SEAS gave a steer about the target groups and work to explore using additional indicators of disadvantage to help target our WP activity and to measure our success in reaching under-represented groups in HE. The draft note of that meeting </w:t>
      </w:r>
      <w:proofErr w:type="gramStart"/>
      <w:r w:rsidRPr="002617CF">
        <w:rPr>
          <w:rFonts w:asciiTheme="minorHAnsi" w:hAnsiTheme="minorHAnsi"/>
        </w:rPr>
        <w:t>is attached</w:t>
      </w:r>
      <w:proofErr w:type="gramEnd"/>
      <w:r w:rsidRPr="002617CF">
        <w:rPr>
          <w:rFonts w:asciiTheme="minorHAnsi" w:hAnsiTheme="minorHAnsi"/>
        </w:rPr>
        <w:t xml:space="preserve"> at annex A.</w:t>
      </w:r>
    </w:p>
    <w:p w14:paraId="197942D5" w14:textId="77777777" w:rsidR="008D1B9C" w:rsidRPr="002617CF" w:rsidRDefault="008D1B9C" w:rsidP="00E25D4D">
      <w:pPr>
        <w:rPr>
          <w:rFonts w:asciiTheme="minorHAnsi" w:hAnsiTheme="minorHAnsi"/>
        </w:rPr>
      </w:pPr>
    </w:p>
    <w:p w14:paraId="5C059DE0" w14:textId="77777777" w:rsidR="008D1B9C" w:rsidRPr="002617CF" w:rsidRDefault="00E25D4D" w:rsidP="008D1B9C">
      <w:pPr>
        <w:rPr>
          <w:rFonts w:asciiTheme="minorHAnsi" w:eastAsiaTheme="minorHAnsi" w:hAnsiTheme="minorHAnsi" w:cstheme="minorBidi"/>
          <w:sz w:val="22"/>
          <w:szCs w:val="22"/>
          <w:lang w:eastAsia="en-US"/>
        </w:rPr>
      </w:pPr>
      <w:r w:rsidRPr="002617CF">
        <w:rPr>
          <w:rFonts w:asciiTheme="minorHAnsi" w:hAnsiTheme="minorHAnsi"/>
        </w:rPr>
        <w:t xml:space="preserve">Previously the University’s WP indicators </w:t>
      </w:r>
      <w:proofErr w:type="gramStart"/>
      <w:r w:rsidRPr="002617CF">
        <w:rPr>
          <w:rFonts w:asciiTheme="minorHAnsi" w:hAnsiTheme="minorHAnsi"/>
        </w:rPr>
        <w:t>were influenced</w:t>
      </w:r>
      <w:proofErr w:type="gramEnd"/>
      <w:r w:rsidRPr="002617CF">
        <w:rPr>
          <w:rFonts w:asciiTheme="minorHAnsi" w:hAnsiTheme="minorHAnsi"/>
        </w:rPr>
        <w:t xml:space="preserve"> by HEFCW’s corporate strategy targets and associated fee plan targets. We now have the opportunity to choose our own </w:t>
      </w:r>
      <w:proofErr w:type="gramStart"/>
      <w:r w:rsidRPr="002617CF">
        <w:rPr>
          <w:rFonts w:asciiTheme="minorHAnsi" w:hAnsiTheme="minorHAnsi"/>
        </w:rPr>
        <w:t>indicators which</w:t>
      </w:r>
      <w:proofErr w:type="gramEnd"/>
      <w:r w:rsidRPr="002617CF">
        <w:rPr>
          <w:rFonts w:asciiTheme="minorHAnsi" w:hAnsiTheme="minorHAnsi"/>
        </w:rPr>
        <w:t xml:space="preserve"> best reflect our strategic ambitions and enable us to monitor and evaluate our WP progress, including through our fee</w:t>
      </w:r>
      <w:r w:rsidR="008D1B9C" w:rsidRPr="002617CF">
        <w:rPr>
          <w:rFonts w:asciiTheme="minorHAnsi" w:hAnsiTheme="minorHAnsi"/>
        </w:rPr>
        <w:t xml:space="preserve"> and </w:t>
      </w:r>
      <w:r w:rsidR="008D1B9C" w:rsidRPr="002617CF">
        <w:rPr>
          <w:rFonts w:asciiTheme="minorHAnsi" w:eastAsiaTheme="minorHAnsi" w:hAnsiTheme="minorHAnsi"/>
          <w:lang w:eastAsia="en-US"/>
        </w:rPr>
        <w:t>access plans</w:t>
      </w:r>
      <w:r w:rsidR="008D1B9C" w:rsidRPr="002617CF">
        <w:rPr>
          <w:rFonts w:asciiTheme="minorHAnsi" w:eastAsiaTheme="minorHAnsi" w:hAnsiTheme="minorHAnsi" w:cstheme="minorBidi"/>
          <w:sz w:val="22"/>
          <w:szCs w:val="22"/>
          <w:lang w:eastAsia="en-US"/>
        </w:rPr>
        <w:t>.</w:t>
      </w:r>
      <w:r w:rsidR="008D1B9C" w:rsidRPr="002617CF">
        <w:rPr>
          <w:rStyle w:val="FootnoteReference"/>
          <w:rFonts w:asciiTheme="minorHAnsi" w:eastAsiaTheme="minorHAnsi" w:hAnsiTheme="minorHAnsi" w:cstheme="minorBidi"/>
          <w:sz w:val="22"/>
          <w:szCs w:val="22"/>
          <w:lang w:eastAsia="en-US"/>
        </w:rPr>
        <w:footnoteReference w:customMarkFollows="1" w:id="4"/>
        <w:t>1</w:t>
      </w:r>
    </w:p>
    <w:p w14:paraId="5E867290" w14:textId="77777777" w:rsidR="00E25D4D" w:rsidRPr="002617CF" w:rsidRDefault="00E25D4D" w:rsidP="00E25D4D">
      <w:pPr>
        <w:rPr>
          <w:rFonts w:asciiTheme="minorHAnsi" w:hAnsiTheme="minorHAnsi"/>
        </w:rPr>
      </w:pPr>
    </w:p>
    <w:p w14:paraId="66E5F67F" w14:textId="77777777" w:rsidR="00E25D4D" w:rsidRPr="002617CF" w:rsidRDefault="00E25D4D" w:rsidP="00E25D4D">
      <w:pPr>
        <w:rPr>
          <w:rFonts w:asciiTheme="minorHAnsi" w:hAnsiTheme="minorHAnsi"/>
        </w:rPr>
      </w:pPr>
      <w:r w:rsidRPr="002617CF">
        <w:rPr>
          <w:rFonts w:asciiTheme="minorHAnsi" w:hAnsiTheme="minorHAnsi"/>
        </w:rPr>
        <w:t>This paper:</w:t>
      </w:r>
    </w:p>
    <w:p w14:paraId="1F2E4D77" w14:textId="77777777" w:rsidR="00E25D4D" w:rsidRPr="002617CF" w:rsidRDefault="00E25D4D" w:rsidP="00E25D4D">
      <w:pPr>
        <w:pStyle w:val="ListParagraph"/>
        <w:numPr>
          <w:ilvl w:val="0"/>
          <w:numId w:val="16"/>
        </w:numPr>
      </w:pPr>
      <w:r w:rsidRPr="002617CF">
        <w:t xml:space="preserve">Proposes key measures for the WP strategy (which </w:t>
      </w:r>
      <w:proofErr w:type="gramStart"/>
      <w:r w:rsidRPr="002617CF">
        <w:t>will also be proposed</w:t>
      </w:r>
      <w:proofErr w:type="gramEnd"/>
      <w:r w:rsidRPr="002617CF">
        <w:t xml:space="preserve"> as targets in the 2017/18 fee and access plan).</w:t>
      </w:r>
    </w:p>
    <w:p w14:paraId="4E5E9437" w14:textId="77777777" w:rsidR="00E25D4D" w:rsidRPr="002617CF" w:rsidRDefault="00E25D4D" w:rsidP="00E25D4D">
      <w:pPr>
        <w:pStyle w:val="ListParagraph"/>
        <w:numPr>
          <w:ilvl w:val="0"/>
          <w:numId w:val="16"/>
        </w:numPr>
      </w:pPr>
      <w:r w:rsidRPr="002617CF">
        <w:t xml:space="preserve">Explains the ongoing work to explore new indicators of socio-economic and educational disadvantage that </w:t>
      </w:r>
      <w:proofErr w:type="gramStart"/>
      <w:r w:rsidRPr="002617CF">
        <w:t>could be used</w:t>
      </w:r>
      <w:proofErr w:type="gramEnd"/>
      <w:r w:rsidRPr="002617CF">
        <w:t xml:space="preserve"> to target WP activity and in policies such as contextual admissions and bursaries.</w:t>
      </w:r>
    </w:p>
    <w:p w14:paraId="1D68CE7C" w14:textId="77777777" w:rsidR="00E25D4D" w:rsidRPr="002617CF" w:rsidRDefault="00E25D4D" w:rsidP="00E25D4D">
      <w:pPr>
        <w:pStyle w:val="ListParagraph"/>
        <w:numPr>
          <w:ilvl w:val="0"/>
          <w:numId w:val="16"/>
        </w:numPr>
      </w:pPr>
      <w:r w:rsidRPr="002617CF">
        <w:t>Explains our strategic aim for reaching and supporting vulnerable groups.</w:t>
      </w:r>
    </w:p>
    <w:p w14:paraId="58C62FFB" w14:textId="77777777" w:rsidR="00E25D4D" w:rsidRPr="002617CF" w:rsidRDefault="00E25D4D" w:rsidP="00E25D4D">
      <w:pPr>
        <w:pStyle w:val="ListParagraph"/>
        <w:numPr>
          <w:ilvl w:val="0"/>
          <w:numId w:val="16"/>
        </w:numPr>
      </w:pPr>
      <w:r w:rsidRPr="002617CF">
        <w:t>Suggests further work is required to understand progression of under-represented groups to postgraduate study/employment.</w:t>
      </w:r>
    </w:p>
    <w:p w14:paraId="462B8E38" w14:textId="77777777" w:rsidR="00E25D4D" w:rsidRPr="002617CF" w:rsidRDefault="00E25D4D" w:rsidP="00E25D4D">
      <w:pPr>
        <w:pStyle w:val="ListParagraph"/>
        <w:numPr>
          <w:ilvl w:val="0"/>
          <w:numId w:val="12"/>
        </w:numPr>
        <w:spacing w:before="360"/>
        <w:ind w:left="425" w:hanging="425"/>
        <w:contextualSpacing w:val="0"/>
        <w:rPr>
          <w:b/>
        </w:rPr>
      </w:pPr>
      <w:r w:rsidRPr="002617CF">
        <w:rPr>
          <w:b/>
        </w:rPr>
        <w:t>Principles underpinning selection of indicators and use of data.</w:t>
      </w:r>
    </w:p>
    <w:p w14:paraId="0FFBD29D" w14:textId="77777777" w:rsidR="00E25D4D" w:rsidRPr="002617CF" w:rsidRDefault="00E25D4D" w:rsidP="00E25D4D">
      <w:pPr>
        <w:pStyle w:val="ListParagraph"/>
        <w:numPr>
          <w:ilvl w:val="0"/>
          <w:numId w:val="14"/>
        </w:numPr>
      </w:pPr>
      <w:r w:rsidRPr="002617CF">
        <w:t>To have a limited number of indicators to monitor progress against our WP strategic aims; contributing to widening participation of under-represented groups from Wales and more widely.</w:t>
      </w:r>
    </w:p>
    <w:p w14:paraId="4ACB8376" w14:textId="77777777" w:rsidR="00E25D4D" w:rsidRPr="002617CF" w:rsidRDefault="00E25D4D" w:rsidP="00E25D4D">
      <w:pPr>
        <w:pStyle w:val="ListParagraph"/>
        <w:numPr>
          <w:ilvl w:val="0"/>
          <w:numId w:val="14"/>
        </w:numPr>
      </w:pPr>
      <w:r w:rsidRPr="002617CF">
        <w:t>We acknowledge the limitation of area-based measures (e.g. as found by Taylor et al, 2013</w:t>
      </w:r>
      <w:r w:rsidR="00B633DE" w:rsidRPr="002617CF">
        <w:rPr>
          <w:rStyle w:val="FootnoteReference"/>
        </w:rPr>
        <w:footnoteReference w:customMarkFollows="1" w:id="5"/>
        <w:t>2</w:t>
      </w:r>
      <w:r w:rsidRPr="002617CF">
        <w:t xml:space="preserve">) so we will aim to broaden the range of indicators we use to measure our success, and to target our WP activities. </w:t>
      </w:r>
    </w:p>
    <w:p w14:paraId="7C7F2912" w14:textId="77777777" w:rsidR="00E25D4D" w:rsidRPr="002617CF" w:rsidRDefault="00E25D4D" w:rsidP="00E25D4D">
      <w:pPr>
        <w:pStyle w:val="ListParagraph"/>
        <w:numPr>
          <w:ilvl w:val="0"/>
          <w:numId w:val="14"/>
        </w:numPr>
      </w:pPr>
      <w:r w:rsidRPr="002617CF">
        <w:t xml:space="preserve">A broader range (‘basket’) of indicators is a more robust way of judging success in reaching and recruiting groups under-represented in </w:t>
      </w:r>
      <w:proofErr w:type="gramStart"/>
      <w:r w:rsidRPr="002617CF">
        <w:t>HE</w:t>
      </w:r>
      <w:proofErr w:type="gramEnd"/>
      <w:r w:rsidRPr="002617CF">
        <w:t>. In particular, we wish to explore using indicators of educational disadvantage (currently we only use indicators of socio-economic disadvantage), as well as explore using additional measures of socio-economic disadvantage.</w:t>
      </w:r>
    </w:p>
    <w:p w14:paraId="35578443" w14:textId="77777777" w:rsidR="00E25D4D" w:rsidRPr="002617CF" w:rsidRDefault="00E25D4D" w:rsidP="00E25D4D">
      <w:pPr>
        <w:pStyle w:val="ListParagraph"/>
        <w:numPr>
          <w:ilvl w:val="0"/>
          <w:numId w:val="14"/>
        </w:numPr>
      </w:pPr>
      <w:r w:rsidRPr="002617CF">
        <w:t xml:space="preserve">Indicators that </w:t>
      </w:r>
      <w:proofErr w:type="gramStart"/>
      <w:r w:rsidRPr="002617CF">
        <w:t>are aligned</w:t>
      </w:r>
      <w:proofErr w:type="gramEnd"/>
      <w:r w:rsidRPr="002617CF">
        <w:t xml:space="preserve"> to other reporting we do or are likely to do in the future.</w:t>
      </w:r>
    </w:p>
    <w:p w14:paraId="7979C764" w14:textId="77777777" w:rsidR="00E25D4D" w:rsidRPr="002617CF" w:rsidRDefault="00E25D4D" w:rsidP="00E25D4D">
      <w:pPr>
        <w:pStyle w:val="ListParagraph"/>
        <w:numPr>
          <w:ilvl w:val="0"/>
          <w:numId w:val="14"/>
        </w:numPr>
      </w:pPr>
      <w:r w:rsidRPr="002617CF">
        <w:t>Indicators that are relevant and suited to the Cardiff University’s mission.</w:t>
      </w:r>
    </w:p>
    <w:p w14:paraId="4FE34B5A" w14:textId="77777777" w:rsidR="00E25D4D" w:rsidRPr="002617CF" w:rsidRDefault="00E25D4D" w:rsidP="00E25D4D">
      <w:pPr>
        <w:pStyle w:val="ListParagraph"/>
        <w:numPr>
          <w:ilvl w:val="0"/>
          <w:numId w:val="14"/>
        </w:numPr>
      </w:pPr>
      <w:r w:rsidRPr="002617CF">
        <w:t xml:space="preserve">Indicators that measure where we are targeting our efforts rather than what </w:t>
      </w:r>
      <w:proofErr w:type="gramStart"/>
      <w:r w:rsidRPr="002617CF">
        <w:t>can be measured</w:t>
      </w:r>
      <w:proofErr w:type="gramEnd"/>
      <w:r w:rsidRPr="002617CF">
        <w:t>.</w:t>
      </w:r>
    </w:p>
    <w:p w14:paraId="5DCE97A1" w14:textId="77777777" w:rsidR="00E25D4D" w:rsidRPr="002F560D" w:rsidRDefault="008D1B9C" w:rsidP="00E25D4D">
      <w:pPr>
        <w:jc w:val="center"/>
        <w:rPr>
          <w:rFonts w:asciiTheme="minorHAnsi" w:hAnsiTheme="minorHAnsi"/>
          <w:b/>
          <w:sz w:val="28"/>
        </w:rPr>
      </w:pPr>
      <w:r w:rsidRPr="002F560D">
        <w:rPr>
          <w:rFonts w:asciiTheme="minorHAnsi" w:hAnsiTheme="minorHAnsi"/>
          <w:b/>
          <w:sz w:val="28"/>
        </w:rPr>
        <w:t>S</w:t>
      </w:r>
      <w:r w:rsidR="00E25D4D" w:rsidRPr="002F560D">
        <w:rPr>
          <w:rFonts w:asciiTheme="minorHAnsi" w:hAnsiTheme="minorHAnsi"/>
          <w:b/>
          <w:sz w:val="28"/>
        </w:rPr>
        <w:t>trategic ambition:</w:t>
      </w:r>
      <w:r w:rsidR="00E25D4D" w:rsidRPr="002F560D">
        <w:rPr>
          <w:rFonts w:asciiTheme="minorHAnsi" w:hAnsiTheme="minorHAnsi"/>
          <w:sz w:val="28"/>
        </w:rPr>
        <w:t xml:space="preserve"> </w:t>
      </w:r>
      <w:r w:rsidR="00E25D4D" w:rsidRPr="002F560D">
        <w:rPr>
          <w:rFonts w:asciiTheme="minorHAnsi" w:hAnsiTheme="minorHAnsi"/>
          <w:b/>
          <w:sz w:val="28"/>
        </w:rPr>
        <w:t>Raising aspirations and Fair recruitment and admissions</w:t>
      </w:r>
    </w:p>
    <w:p w14:paraId="599BF6D2" w14:textId="77777777" w:rsidR="00E25D4D" w:rsidRPr="002617CF" w:rsidRDefault="00E25D4D" w:rsidP="00E25D4D">
      <w:pPr>
        <w:pStyle w:val="ListParagraph"/>
        <w:keepNext/>
        <w:numPr>
          <w:ilvl w:val="0"/>
          <w:numId w:val="12"/>
        </w:numPr>
        <w:spacing w:before="360"/>
        <w:ind w:left="426" w:hanging="426"/>
        <w:contextualSpacing w:val="0"/>
        <w:rPr>
          <w:b/>
        </w:rPr>
      </w:pPr>
      <w:r w:rsidRPr="002617CF">
        <w:rPr>
          <w:b/>
        </w:rPr>
        <w:t>Indicators of socio-economic disadvantage.</w:t>
      </w:r>
    </w:p>
    <w:p w14:paraId="4F58AF61" w14:textId="77777777" w:rsidR="00E25D4D" w:rsidRPr="002617CF" w:rsidRDefault="00E25D4D" w:rsidP="00E25D4D">
      <w:pPr>
        <w:keepNext/>
        <w:rPr>
          <w:rFonts w:asciiTheme="minorHAnsi" w:hAnsiTheme="minorHAnsi"/>
        </w:rPr>
      </w:pPr>
      <w:r w:rsidRPr="002617CF">
        <w:rPr>
          <w:rFonts w:asciiTheme="minorHAnsi" w:hAnsiTheme="minorHAnsi"/>
        </w:rPr>
        <w:t xml:space="preserve">The indicators in this section </w:t>
      </w:r>
      <w:proofErr w:type="gramStart"/>
      <w:r w:rsidRPr="002617CF">
        <w:rPr>
          <w:rFonts w:asciiTheme="minorHAnsi" w:hAnsiTheme="minorHAnsi"/>
        </w:rPr>
        <w:t>are proposed</w:t>
      </w:r>
      <w:proofErr w:type="gramEnd"/>
      <w:r w:rsidRPr="002617CF">
        <w:rPr>
          <w:rFonts w:asciiTheme="minorHAnsi" w:hAnsiTheme="minorHAnsi"/>
        </w:rPr>
        <w:t xml:space="preserve"> as indicators of the success of our WP strategy and as targets in our 2017/18 fee and access plan.</w:t>
      </w:r>
    </w:p>
    <w:p w14:paraId="184CF4F5" w14:textId="77777777" w:rsidR="008D1B9C" w:rsidRPr="002617CF" w:rsidRDefault="008D1B9C" w:rsidP="00E25D4D">
      <w:pPr>
        <w:keepNext/>
        <w:rPr>
          <w:rFonts w:asciiTheme="minorHAnsi" w:hAnsiTheme="minorHAnsi"/>
        </w:rPr>
      </w:pPr>
    </w:p>
    <w:p w14:paraId="5B5E10E0" w14:textId="77777777" w:rsidR="00E25D4D" w:rsidRPr="002617CF" w:rsidRDefault="00E25D4D" w:rsidP="00E25D4D">
      <w:pPr>
        <w:rPr>
          <w:rFonts w:asciiTheme="minorHAnsi" w:hAnsiTheme="minorHAnsi"/>
        </w:rPr>
      </w:pPr>
      <w:r w:rsidRPr="002617CF">
        <w:rPr>
          <w:rFonts w:asciiTheme="minorHAnsi" w:hAnsiTheme="minorHAnsi"/>
        </w:rPr>
        <w:t xml:space="preserve">Representatives from Strategic Planning, Marketing and Student Recruitment, and Admissions met during March 2016 to review the two measures of socio-economic disadvantage currently used in our fee plan, namely: </w:t>
      </w:r>
    </w:p>
    <w:p w14:paraId="42BA5238" w14:textId="77777777" w:rsidR="008D1B9C" w:rsidRPr="002617CF" w:rsidRDefault="008D1B9C" w:rsidP="00E25D4D">
      <w:pPr>
        <w:rPr>
          <w:rFonts w:asciiTheme="minorHAnsi" w:hAnsiTheme="minorHAnsi"/>
        </w:rPr>
      </w:pPr>
    </w:p>
    <w:p w14:paraId="00F0F6F4" w14:textId="77777777" w:rsidR="00E25D4D" w:rsidRPr="002617CF" w:rsidRDefault="00E25D4D" w:rsidP="00E25D4D">
      <w:pPr>
        <w:pStyle w:val="ListParagraph"/>
        <w:numPr>
          <w:ilvl w:val="0"/>
          <w:numId w:val="14"/>
        </w:numPr>
      </w:pPr>
      <w:r w:rsidRPr="002617CF">
        <w:t>Percentage of students from Communities First cluster areas or the bottom quintile of the lower super output areas in the Welsh index of multiple deprivation.</w:t>
      </w:r>
    </w:p>
    <w:p w14:paraId="373EA27E" w14:textId="77777777" w:rsidR="00E25D4D" w:rsidRPr="002617CF" w:rsidRDefault="00E25D4D" w:rsidP="00E25D4D">
      <w:pPr>
        <w:pStyle w:val="ListParagraph"/>
        <w:numPr>
          <w:ilvl w:val="0"/>
          <w:numId w:val="14"/>
        </w:numPr>
      </w:pPr>
      <w:r w:rsidRPr="002617CF">
        <w:t>Percentage of students from low-participation neighbourhoods (LPN) (POLAR data).</w:t>
      </w:r>
    </w:p>
    <w:p w14:paraId="78EC89EC" w14:textId="77777777" w:rsidR="00E25D4D" w:rsidRPr="002617CF" w:rsidRDefault="00E25D4D" w:rsidP="00E25D4D">
      <w:pPr>
        <w:pBdr>
          <w:top w:val="single" w:sz="4" w:space="1" w:color="auto"/>
          <w:left w:val="single" w:sz="4" w:space="1" w:color="auto"/>
          <w:bottom w:val="single" w:sz="4" w:space="1" w:color="auto"/>
          <w:right w:val="single" w:sz="4" w:space="1" w:color="auto"/>
        </w:pBdr>
        <w:rPr>
          <w:rFonts w:asciiTheme="minorHAnsi" w:hAnsiTheme="minorHAnsi"/>
          <w:b/>
        </w:rPr>
      </w:pPr>
      <w:r w:rsidRPr="002617CF">
        <w:rPr>
          <w:rFonts w:asciiTheme="minorHAnsi" w:hAnsiTheme="minorHAnsi"/>
          <w:b/>
        </w:rPr>
        <w:t>Proposed</w:t>
      </w:r>
      <w:r w:rsidRPr="002617CF">
        <w:rPr>
          <w:rFonts w:asciiTheme="minorHAnsi" w:hAnsiTheme="minorHAnsi"/>
        </w:rPr>
        <w:t xml:space="preserve"> </w:t>
      </w:r>
      <w:r w:rsidRPr="002617CF">
        <w:rPr>
          <w:rFonts w:asciiTheme="minorHAnsi" w:hAnsiTheme="minorHAnsi"/>
          <w:b/>
        </w:rPr>
        <w:t>measure/indicator 1:</w:t>
      </w:r>
      <w:r w:rsidRPr="002617CF">
        <w:rPr>
          <w:rFonts w:asciiTheme="minorHAnsi" w:hAnsiTheme="minorHAnsi"/>
        </w:rPr>
        <w:t xml:space="preserve"> </w:t>
      </w:r>
      <w:r w:rsidRPr="002617CF">
        <w:rPr>
          <w:rFonts w:asciiTheme="minorHAnsi" w:hAnsiTheme="minorHAnsi"/>
          <w:b/>
        </w:rPr>
        <w:t>Communities First/WIMD</w:t>
      </w:r>
    </w:p>
    <w:p w14:paraId="25741959" w14:textId="77777777" w:rsidR="008D1B9C" w:rsidRPr="002617CF" w:rsidRDefault="008D1B9C" w:rsidP="00E25D4D">
      <w:pPr>
        <w:pBdr>
          <w:top w:val="single" w:sz="4" w:space="1" w:color="auto"/>
          <w:left w:val="single" w:sz="4" w:space="1" w:color="auto"/>
          <w:bottom w:val="single" w:sz="4" w:space="1" w:color="auto"/>
          <w:right w:val="single" w:sz="4" w:space="1" w:color="auto"/>
        </w:pBdr>
        <w:rPr>
          <w:rFonts w:asciiTheme="minorHAnsi" w:hAnsiTheme="minorHAnsi"/>
          <w:u w:val="single"/>
        </w:rPr>
      </w:pPr>
    </w:p>
    <w:p w14:paraId="71FD337C" w14:textId="77777777" w:rsidR="00E25D4D" w:rsidRPr="002617CF" w:rsidRDefault="00E25D4D" w:rsidP="00E25D4D">
      <w:pPr>
        <w:pBdr>
          <w:top w:val="single" w:sz="4" w:space="1" w:color="auto"/>
          <w:left w:val="single" w:sz="4" w:space="1" w:color="auto"/>
          <w:bottom w:val="single" w:sz="4" w:space="1" w:color="auto"/>
          <w:right w:val="single" w:sz="4" w:space="1" w:color="auto"/>
        </w:pBdr>
        <w:rPr>
          <w:rFonts w:asciiTheme="minorHAnsi" w:hAnsiTheme="minorHAnsi"/>
          <w:b/>
          <w:i/>
        </w:rPr>
      </w:pPr>
      <w:r w:rsidRPr="002617CF">
        <w:rPr>
          <w:rFonts w:asciiTheme="minorHAnsi" w:hAnsiTheme="minorHAnsi"/>
        </w:rPr>
        <w:t>(</w:t>
      </w:r>
      <w:r w:rsidRPr="002617CF">
        <w:rPr>
          <w:rFonts w:asciiTheme="minorHAnsi" w:hAnsiTheme="minorHAnsi"/>
          <w:b/>
        </w:rPr>
        <w:t>RETAIN same CF/WIMD measure)</w:t>
      </w:r>
    </w:p>
    <w:p w14:paraId="19AD192E" w14:textId="77777777" w:rsidR="008D1B9C" w:rsidRPr="002617CF" w:rsidRDefault="008D1B9C" w:rsidP="00E25D4D">
      <w:pPr>
        <w:rPr>
          <w:rFonts w:asciiTheme="minorHAnsi" w:hAnsiTheme="minorHAnsi"/>
        </w:rPr>
      </w:pPr>
    </w:p>
    <w:p w14:paraId="20ABBA60" w14:textId="77777777" w:rsidR="00E25D4D" w:rsidRPr="002617CF" w:rsidRDefault="00E25D4D" w:rsidP="00E25D4D">
      <w:pPr>
        <w:rPr>
          <w:rFonts w:asciiTheme="minorHAnsi" w:hAnsiTheme="minorHAnsi"/>
        </w:rPr>
      </w:pPr>
      <w:r w:rsidRPr="002617CF">
        <w:rPr>
          <w:rFonts w:asciiTheme="minorHAnsi" w:hAnsiTheme="minorHAnsi"/>
        </w:rPr>
        <w:t xml:space="preserve">Table 1 below shows the University’s performance against the </w:t>
      </w:r>
      <w:r w:rsidRPr="002617CF">
        <w:rPr>
          <w:rFonts w:asciiTheme="minorHAnsi" w:hAnsiTheme="minorHAnsi"/>
          <w:b/>
        </w:rPr>
        <w:t>Communities First/WIMD measure</w:t>
      </w:r>
      <w:r w:rsidRPr="002617CF">
        <w:rPr>
          <w:rFonts w:asciiTheme="minorHAnsi" w:hAnsiTheme="minorHAnsi"/>
        </w:rPr>
        <w:t>. Our 2015/16 and 2016/17 targets are still ambitious given the trend, however we have the second largest Communities First/WIMD cohort in Wales, and we are ranked 6</w:t>
      </w:r>
      <w:r w:rsidRPr="002617CF">
        <w:rPr>
          <w:rFonts w:asciiTheme="minorHAnsi" w:hAnsiTheme="minorHAnsi"/>
          <w:vertAlign w:val="superscript"/>
        </w:rPr>
        <w:t>th</w:t>
      </w:r>
      <w:r w:rsidRPr="002617CF">
        <w:rPr>
          <w:rFonts w:asciiTheme="minorHAnsi" w:hAnsiTheme="minorHAnsi"/>
        </w:rPr>
        <w:t xml:space="preserve"> out of 9 institutions in Wales for the proportion of these students overall. (2013/14 HESA data).</w:t>
      </w:r>
    </w:p>
    <w:p w14:paraId="7719C558" w14:textId="77777777" w:rsidR="008D1B9C" w:rsidRPr="002617CF" w:rsidRDefault="00E25D4D" w:rsidP="00E25D4D">
      <w:pPr>
        <w:spacing w:before="240"/>
        <w:rPr>
          <w:rFonts w:asciiTheme="minorHAnsi" w:hAnsiTheme="minorHAnsi"/>
          <w:i/>
        </w:rPr>
      </w:pPr>
      <w:r w:rsidRPr="002617CF">
        <w:rPr>
          <w:rFonts w:asciiTheme="minorHAnsi" w:hAnsiTheme="minorHAnsi"/>
          <w:i/>
        </w:rPr>
        <w:t>Table 1: Percentage of students from Communities First cluster areas or the bottom quintile of the lower super output areas in the Welsh index of multiple deprivation (All modes, levels and years of study).</w:t>
      </w:r>
    </w:p>
    <w:p w14:paraId="32B4C452" w14:textId="77777777" w:rsidR="008D1B9C" w:rsidRPr="002617CF" w:rsidRDefault="008D1B9C" w:rsidP="008D1B9C">
      <w:pPr>
        <w:rPr>
          <w:rFonts w:asciiTheme="minorHAnsi" w:hAnsiTheme="minorHAnsi"/>
          <w:i/>
        </w:rPr>
      </w:pPr>
    </w:p>
    <w:tbl>
      <w:tblPr>
        <w:tblStyle w:val="TableGrid"/>
        <w:tblW w:w="0" w:type="auto"/>
        <w:tblInd w:w="-113" w:type="dxa"/>
        <w:tblLook w:val="04A0" w:firstRow="1" w:lastRow="0" w:firstColumn="1" w:lastColumn="0" w:noHBand="0" w:noVBand="1"/>
      </w:tblPr>
      <w:tblGrid>
        <w:gridCol w:w="879"/>
        <w:gridCol w:w="879"/>
        <w:gridCol w:w="850"/>
        <w:gridCol w:w="851"/>
        <w:gridCol w:w="1134"/>
        <w:gridCol w:w="992"/>
        <w:gridCol w:w="1134"/>
        <w:gridCol w:w="1134"/>
      </w:tblGrid>
      <w:tr w:rsidR="00E25D4D" w:rsidRPr="002617CF" w14:paraId="0DB3EAC4" w14:textId="77777777" w:rsidTr="008D1B9C">
        <w:tc>
          <w:tcPr>
            <w:tcW w:w="879" w:type="dxa"/>
          </w:tcPr>
          <w:p w14:paraId="5BDC414C" w14:textId="77777777" w:rsidR="00E25D4D" w:rsidRPr="002617CF" w:rsidRDefault="00E25D4D" w:rsidP="008D1B9C">
            <w:pPr>
              <w:rPr>
                <w:rFonts w:asciiTheme="minorHAnsi" w:hAnsiTheme="minorHAnsi"/>
              </w:rPr>
            </w:pPr>
            <w:r w:rsidRPr="002617CF">
              <w:rPr>
                <w:rFonts w:asciiTheme="minorHAnsi" w:hAnsiTheme="minorHAnsi"/>
              </w:rPr>
              <w:t>Year</w:t>
            </w:r>
          </w:p>
        </w:tc>
        <w:tc>
          <w:tcPr>
            <w:tcW w:w="879" w:type="dxa"/>
          </w:tcPr>
          <w:p w14:paraId="2BC1F3B3" w14:textId="77777777" w:rsidR="00E25D4D" w:rsidRPr="002617CF" w:rsidRDefault="00E25D4D" w:rsidP="008D1B9C">
            <w:pPr>
              <w:rPr>
                <w:rFonts w:asciiTheme="minorHAnsi" w:hAnsiTheme="minorHAnsi"/>
              </w:rPr>
            </w:pPr>
            <w:r w:rsidRPr="002617CF">
              <w:rPr>
                <w:rFonts w:asciiTheme="minorHAnsi" w:hAnsiTheme="minorHAnsi"/>
              </w:rPr>
              <w:t>11-12</w:t>
            </w:r>
          </w:p>
        </w:tc>
        <w:tc>
          <w:tcPr>
            <w:tcW w:w="850" w:type="dxa"/>
          </w:tcPr>
          <w:p w14:paraId="4AAEF3DE" w14:textId="77777777" w:rsidR="00E25D4D" w:rsidRPr="002617CF" w:rsidRDefault="00E25D4D" w:rsidP="008D1B9C">
            <w:pPr>
              <w:rPr>
                <w:rFonts w:asciiTheme="minorHAnsi" w:hAnsiTheme="minorHAnsi"/>
              </w:rPr>
            </w:pPr>
            <w:r w:rsidRPr="002617CF">
              <w:rPr>
                <w:rFonts w:asciiTheme="minorHAnsi" w:hAnsiTheme="minorHAnsi"/>
              </w:rPr>
              <w:t>12-13</w:t>
            </w:r>
          </w:p>
        </w:tc>
        <w:tc>
          <w:tcPr>
            <w:tcW w:w="851" w:type="dxa"/>
          </w:tcPr>
          <w:p w14:paraId="34CE5D52" w14:textId="77777777" w:rsidR="00E25D4D" w:rsidRPr="002617CF" w:rsidRDefault="00E25D4D" w:rsidP="008D1B9C">
            <w:pPr>
              <w:rPr>
                <w:rFonts w:asciiTheme="minorHAnsi" w:hAnsiTheme="minorHAnsi"/>
              </w:rPr>
            </w:pPr>
            <w:r w:rsidRPr="002617CF">
              <w:rPr>
                <w:rFonts w:asciiTheme="minorHAnsi" w:hAnsiTheme="minorHAnsi"/>
              </w:rPr>
              <w:t>13-14</w:t>
            </w:r>
          </w:p>
          <w:p w14:paraId="6BDEEC2D" w14:textId="0CEADEAD" w:rsidR="00E25D4D" w:rsidRPr="002617CF" w:rsidRDefault="00896849" w:rsidP="00896849">
            <w:pPr>
              <w:rPr>
                <w:rFonts w:asciiTheme="minorHAnsi" w:hAnsiTheme="minorHAnsi"/>
              </w:rPr>
            </w:pPr>
            <w:r>
              <w:rPr>
                <w:rFonts w:asciiTheme="minorHAnsi" w:hAnsiTheme="minorHAnsi"/>
                <w:i/>
                <w:sz w:val="18"/>
              </w:rPr>
              <w:t>fee plan</w:t>
            </w:r>
          </w:p>
        </w:tc>
        <w:tc>
          <w:tcPr>
            <w:tcW w:w="1134" w:type="dxa"/>
            <w:shd w:val="clear" w:color="auto" w:fill="F2F2F2" w:themeFill="background1" w:themeFillShade="F2"/>
          </w:tcPr>
          <w:p w14:paraId="62176EEF" w14:textId="77777777" w:rsidR="00E25D4D" w:rsidRPr="002617CF" w:rsidRDefault="00E25D4D" w:rsidP="008D1B9C">
            <w:pPr>
              <w:rPr>
                <w:rFonts w:asciiTheme="minorHAnsi" w:hAnsiTheme="minorHAnsi"/>
                <w:i/>
              </w:rPr>
            </w:pPr>
            <w:r w:rsidRPr="002617CF">
              <w:rPr>
                <w:rFonts w:asciiTheme="minorHAnsi" w:hAnsiTheme="minorHAnsi"/>
                <w:i/>
              </w:rPr>
              <w:t>14-15</w:t>
            </w:r>
          </w:p>
          <w:p w14:paraId="3807B8F1" w14:textId="190A0BCD" w:rsidR="00E25D4D" w:rsidRPr="002617CF" w:rsidRDefault="00896849" w:rsidP="00896849">
            <w:pPr>
              <w:rPr>
                <w:rFonts w:asciiTheme="minorHAnsi" w:hAnsiTheme="minorHAnsi"/>
                <w:i/>
              </w:rPr>
            </w:pPr>
            <w:r>
              <w:rPr>
                <w:rFonts w:asciiTheme="minorHAnsi" w:hAnsiTheme="minorHAnsi"/>
                <w:i/>
                <w:sz w:val="18"/>
              </w:rPr>
              <w:t>fee plan</w:t>
            </w:r>
          </w:p>
        </w:tc>
        <w:tc>
          <w:tcPr>
            <w:tcW w:w="992" w:type="dxa"/>
            <w:shd w:val="clear" w:color="auto" w:fill="F2F2F2" w:themeFill="background1" w:themeFillShade="F2"/>
          </w:tcPr>
          <w:p w14:paraId="1B4EC188" w14:textId="7F0BDFFE" w:rsidR="00E25D4D" w:rsidRPr="002617CF" w:rsidRDefault="00E25D4D" w:rsidP="00896849">
            <w:pPr>
              <w:rPr>
                <w:rFonts w:asciiTheme="minorHAnsi" w:hAnsiTheme="minorHAnsi"/>
                <w:i/>
              </w:rPr>
            </w:pPr>
            <w:r w:rsidRPr="002617CF">
              <w:rPr>
                <w:rFonts w:asciiTheme="minorHAnsi" w:hAnsiTheme="minorHAnsi"/>
                <w:i/>
              </w:rPr>
              <w:t xml:space="preserve">15-16 </w:t>
            </w:r>
            <w:r w:rsidR="00896849">
              <w:rPr>
                <w:rFonts w:asciiTheme="minorHAnsi" w:hAnsiTheme="minorHAnsi"/>
                <w:i/>
                <w:sz w:val="18"/>
              </w:rPr>
              <w:t>fee plan</w:t>
            </w:r>
          </w:p>
        </w:tc>
        <w:tc>
          <w:tcPr>
            <w:tcW w:w="1134" w:type="dxa"/>
            <w:shd w:val="clear" w:color="auto" w:fill="F2F2F2" w:themeFill="background1" w:themeFillShade="F2"/>
          </w:tcPr>
          <w:p w14:paraId="376338ED" w14:textId="77777777" w:rsidR="00E25D4D" w:rsidRPr="002617CF" w:rsidRDefault="00E25D4D" w:rsidP="008D1B9C">
            <w:pPr>
              <w:rPr>
                <w:rFonts w:asciiTheme="minorHAnsi" w:hAnsiTheme="minorHAnsi"/>
                <w:i/>
              </w:rPr>
            </w:pPr>
            <w:r w:rsidRPr="002617CF">
              <w:rPr>
                <w:rFonts w:asciiTheme="minorHAnsi" w:hAnsiTheme="minorHAnsi"/>
                <w:i/>
              </w:rPr>
              <w:t>16-17</w:t>
            </w:r>
          </w:p>
          <w:p w14:paraId="748BB09D" w14:textId="33CED53E" w:rsidR="00E25D4D" w:rsidRPr="002617CF" w:rsidRDefault="00896849" w:rsidP="00896849">
            <w:pPr>
              <w:rPr>
                <w:rFonts w:asciiTheme="minorHAnsi" w:hAnsiTheme="minorHAnsi"/>
                <w:i/>
              </w:rPr>
            </w:pPr>
            <w:r>
              <w:rPr>
                <w:rFonts w:asciiTheme="minorHAnsi" w:hAnsiTheme="minorHAnsi"/>
                <w:i/>
                <w:sz w:val="18"/>
              </w:rPr>
              <w:t>fee plan</w:t>
            </w:r>
          </w:p>
        </w:tc>
        <w:tc>
          <w:tcPr>
            <w:tcW w:w="1134" w:type="dxa"/>
            <w:shd w:val="clear" w:color="auto" w:fill="F2F2F2" w:themeFill="background1" w:themeFillShade="F2"/>
          </w:tcPr>
          <w:p w14:paraId="2E03730B" w14:textId="77777777" w:rsidR="00E25D4D" w:rsidRPr="002617CF" w:rsidRDefault="00E25D4D" w:rsidP="008D1B9C">
            <w:pPr>
              <w:rPr>
                <w:rFonts w:asciiTheme="minorHAnsi" w:hAnsiTheme="minorHAnsi"/>
                <w:i/>
              </w:rPr>
            </w:pPr>
            <w:r w:rsidRPr="002617CF">
              <w:rPr>
                <w:rFonts w:asciiTheme="minorHAnsi" w:hAnsiTheme="minorHAnsi"/>
                <w:i/>
              </w:rPr>
              <w:t xml:space="preserve">17-18 </w:t>
            </w:r>
          </w:p>
          <w:p w14:paraId="55613826" w14:textId="497712AA" w:rsidR="00E25D4D" w:rsidRPr="002617CF" w:rsidRDefault="00896849" w:rsidP="00896849">
            <w:pPr>
              <w:rPr>
                <w:rFonts w:asciiTheme="minorHAnsi" w:hAnsiTheme="minorHAnsi"/>
                <w:i/>
              </w:rPr>
            </w:pPr>
            <w:r>
              <w:rPr>
                <w:rFonts w:asciiTheme="minorHAnsi" w:hAnsiTheme="minorHAnsi"/>
                <w:i/>
                <w:sz w:val="18"/>
              </w:rPr>
              <w:t>fee &amp; access plan</w:t>
            </w:r>
          </w:p>
        </w:tc>
      </w:tr>
      <w:tr w:rsidR="00E25D4D" w:rsidRPr="002617CF" w14:paraId="3D865568" w14:textId="77777777" w:rsidTr="008D1B9C">
        <w:tc>
          <w:tcPr>
            <w:tcW w:w="879" w:type="dxa"/>
          </w:tcPr>
          <w:p w14:paraId="4A421654" w14:textId="77777777" w:rsidR="00E25D4D" w:rsidRPr="002617CF" w:rsidRDefault="00E25D4D" w:rsidP="008D1B9C">
            <w:pPr>
              <w:rPr>
                <w:rFonts w:asciiTheme="minorHAnsi" w:hAnsiTheme="minorHAnsi"/>
              </w:rPr>
            </w:pPr>
            <w:r w:rsidRPr="002617CF">
              <w:rPr>
                <w:rFonts w:asciiTheme="minorHAnsi" w:hAnsiTheme="minorHAnsi"/>
              </w:rPr>
              <w:t>Target</w:t>
            </w:r>
          </w:p>
        </w:tc>
        <w:tc>
          <w:tcPr>
            <w:tcW w:w="879" w:type="dxa"/>
          </w:tcPr>
          <w:p w14:paraId="645F6609" w14:textId="77777777" w:rsidR="00E25D4D" w:rsidRPr="002617CF" w:rsidRDefault="00E25D4D" w:rsidP="008D1B9C">
            <w:pPr>
              <w:rPr>
                <w:rFonts w:asciiTheme="minorHAnsi" w:hAnsiTheme="minorHAnsi"/>
              </w:rPr>
            </w:pPr>
            <w:r w:rsidRPr="002617CF">
              <w:rPr>
                <w:rFonts w:asciiTheme="minorHAnsi" w:hAnsiTheme="minorHAnsi"/>
              </w:rPr>
              <w:t>N/A</w:t>
            </w:r>
          </w:p>
        </w:tc>
        <w:tc>
          <w:tcPr>
            <w:tcW w:w="850" w:type="dxa"/>
          </w:tcPr>
          <w:p w14:paraId="3ADA5916" w14:textId="77777777" w:rsidR="00E25D4D" w:rsidRPr="002617CF" w:rsidRDefault="00E25D4D" w:rsidP="008D1B9C">
            <w:pPr>
              <w:rPr>
                <w:rFonts w:asciiTheme="minorHAnsi" w:hAnsiTheme="minorHAnsi"/>
              </w:rPr>
            </w:pPr>
            <w:r w:rsidRPr="002617CF">
              <w:rPr>
                <w:rFonts w:asciiTheme="minorHAnsi" w:hAnsiTheme="minorHAnsi"/>
              </w:rPr>
              <w:t>N/A</w:t>
            </w:r>
          </w:p>
        </w:tc>
        <w:tc>
          <w:tcPr>
            <w:tcW w:w="851" w:type="dxa"/>
          </w:tcPr>
          <w:p w14:paraId="65987775" w14:textId="77777777" w:rsidR="00E25D4D" w:rsidRPr="002617CF" w:rsidRDefault="00E25D4D" w:rsidP="008D1B9C">
            <w:pPr>
              <w:rPr>
                <w:rFonts w:asciiTheme="minorHAnsi" w:hAnsiTheme="minorHAnsi"/>
              </w:rPr>
            </w:pPr>
            <w:r w:rsidRPr="002617CF">
              <w:rPr>
                <w:rFonts w:asciiTheme="minorHAnsi" w:hAnsiTheme="minorHAnsi"/>
              </w:rPr>
              <w:t>16.8%</w:t>
            </w:r>
          </w:p>
        </w:tc>
        <w:tc>
          <w:tcPr>
            <w:tcW w:w="1134" w:type="dxa"/>
            <w:shd w:val="clear" w:color="auto" w:fill="F2F2F2" w:themeFill="background1" w:themeFillShade="F2"/>
          </w:tcPr>
          <w:p w14:paraId="252BB4DF" w14:textId="2486B272" w:rsidR="00E25D4D" w:rsidRPr="00F36EE7" w:rsidRDefault="00896849" w:rsidP="008D1B9C">
            <w:pPr>
              <w:rPr>
                <w:rFonts w:asciiTheme="minorHAnsi" w:hAnsiTheme="minorHAnsi"/>
              </w:rPr>
            </w:pPr>
            <w:r w:rsidRPr="00F36EE7">
              <w:rPr>
                <w:rFonts w:asciiTheme="minorHAnsi" w:hAnsiTheme="minorHAnsi"/>
              </w:rPr>
              <w:t>17</w:t>
            </w:r>
            <w:r w:rsidR="00E25D4D" w:rsidRPr="00F36EE7">
              <w:rPr>
                <w:rFonts w:asciiTheme="minorHAnsi" w:hAnsiTheme="minorHAnsi"/>
              </w:rPr>
              <w:t>%</w:t>
            </w:r>
          </w:p>
        </w:tc>
        <w:tc>
          <w:tcPr>
            <w:tcW w:w="992" w:type="dxa"/>
            <w:shd w:val="clear" w:color="auto" w:fill="F2F2F2" w:themeFill="background1" w:themeFillShade="F2"/>
          </w:tcPr>
          <w:p w14:paraId="18C6A209" w14:textId="77777777" w:rsidR="00E25D4D" w:rsidRPr="002617CF" w:rsidRDefault="00E25D4D" w:rsidP="008D1B9C">
            <w:pPr>
              <w:rPr>
                <w:rFonts w:asciiTheme="minorHAnsi" w:hAnsiTheme="minorHAnsi"/>
                <w:i/>
              </w:rPr>
            </w:pPr>
            <w:r w:rsidRPr="002617CF">
              <w:rPr>
                <w:rFonts w:asciiTheme="minorHAnsi" w:hAnsiTheme="minorHAnsi"/>
                <w:i/>
              </w:rPr>
              <w:t>17.5%</w:t>
            </w:r>
          </w:p>
        </w:tc>
        <w:tc>
          <w:tcPr>
            <w:tcW w:w="1134" w:type="dxa"/>
            <w:shd w:val="clear" w:color="auto" w:fill="F2F2F2" w:themeFill="background1" w:themeFillShade="F2"/>
          </w:tcPr>
          <w:p w14:paraId="1742F0A3" w14:textId="77777777" w:rsidR="00E25D4D" w:rsidRPr="002617CF" w:rsidRDefault="00E25D4D" w:rsidP="008D1B9C">
            <w:pPr>
              <w:rPr>
                <w:rFonts w:asciiTheme="minorHAnsi" w:hAnsiTheme="minorHAnsi"/>
                <w:i/>
              </w:rPr>
            </w:pPr>
            <w:r w:rsidRPr="002617CF">
              <w:rPr>
                <w:rFonts w:asciiTheme="minorHAnsi" w:hAnsiTheme="minorHAnsi"/>
                <w:i/>
              </w:rPr>
              <w:t>17.5%</w:t>
            </w:r>
          </w:p>
        </w:tc>
        <w:tc>
          <w:tcPr>
            <w:tcW w:w="1134" w:type="dxa"/>
            <w:shd w:val="clear" w:color="auto" w:fill="F2F2F2" w:themeFill="background1" w:themeFillShade="F2"/>
          </w:tcPr>
          <w:p w14:paraId="7E166DFC" w14:textId="77E0DA7A" w:rsidR="00E25D4D" w:rsidRPr="002617CF" w:rsidRDefault="00E25D4D" w:rsidP="008D1B9C">
            <w:pPr>
              <w:rPr>
                <w:rFonts w:asciiTheme="minorHAnsi" w:hAnsiTheme="minorHAnsi"/>
                <w:i/>
              </w:rPr>
            </w:pPr>
            <w:r w:rsidRPr="002617CF">
              <w:rPr>
                <w:rFonts w:asciiTheme="minorHAnsi" w:hAnsiTheme="minorHAnsi"/>
                <w:i/>
              </w:rPr>
              <w:t>TBC</w:t>
            </w:r>
            <w:r w:rsidR="00896849" w:rsidRPr="002617CF">
              <w:rPr>
                <w:rFonts w:asciiTheme="minorHAnsi" w:hAnsiTheme="minorHAnsi"/>
                <w:i/>
                <w:sz w:val="18"/>
              </w:rPr>
              <w:t>*</w:t>
            </w:r>
          </w:p>
        </w:tc>
      </w:tr>
      <w:tr w:rsidR="00E25D4D" w:rsidRPr="002617CF" w14:paraId="2A443DA3" w14:textId="77777777" w:rsidTr="008D1B9C">
        <w:tc>
          <w:tcPr>
            <w:tcW w:w="879" w:type="dxa"/>
          </w:tcPr>
          <w:p w14:paraId="6587502B" w14:textId="77777777" w:rsidR="00E25D4D" w:rsidRPr="002617CF" w:rsidRDefault="00E25D4D" w:rsidP="008D1B9C">
            <w:pPr>
              <w:rPr>
                <w:rFonts w:asciiTheme="minorHAnsi" w:hAnsiTheme="minorHAnsi"/>
              </w:rPr>
            </w:pPr>
            <w:r w:rsidRPr="002617CF">
              <w:rPr>
                <w:rFonts w:asciiTheme="minorHAnsi" w:hAnsiTheme="minorHAnsi"/>
              </w:rPr>
              <w:t>Actual</w:t>
            </w:r>
          </w:p>
        </w:tc>
        <w:tc>
          <w:tcPr>
            <w:tcW w:w="879" w:type="dxa"/>
          </w:tcPr>
          <w:p w14:paraId="131B7636" w14:textId="77777777" w:rsidR="00E25D4D" w:rsidRPr="002617CF" w:rsidRDefault="00E25D4D" w:rsidP="008D1B9C">
            <w:pPr>
              <w:rPr>
                <w:rFonts w:asciiTheme="minorHAnsi" w:hAnsiTheme="minorHAnsi"/>
              </w:rPr>
            </w:pPr>
            <w:r w:rsidRPr="002617CF">
              <w:rPr>
                <w:rFonts w:asciiTheme="minorHAnsi" w:hAnsiTheme="minorHAnsi"/>
              </w:rPr>
              <w:t>16.8%</w:t>
            </w:r>
          </w:p>
        </w:tc>
        <w:tc>
          <w:tcPr>
            <w:tcW w:w="850" w:type="dxa"/>
          </w:tcPr>
          <w:p w14:paraId="1F92C15F" w14:textId="77777777" w:rsidR="00E25D4D" w:rsidRPr="002617CF" w:rsidRDefault="00E25D4D" w:rsidP="008D1B9C">
            <w:pPr>
              <w:rPr>
                <w:rFonts w:asciiTheme="minorHAnsi" w:hAnsiTheme="minorHAnsi"/>
              </w:rPr>
            </w:pPr>
            <w:r w:rsidRPr="002617CF">
              <w:rPr>
                <w:rFonts w:asciiTheme="minorHAnsi" w:hAnsiTheme="minorHAnsi"/>
              </w:rPr>
              <w:t>16.4%</w:t>
            </w:r>
          </w:p>
        </w:tc>
        <w:tc>
          <w:tcPr>
            <w:tcW w:w="851" w:type="dxa"/>
          </w:tcPr>
          <w:p w14:paraId="5C11257D" w14:textId="77777777" w:rsidR="00E25D4D" w:rsidRPr="002617CF" w:rsidRDefault="00E25D4D" w:rsidP="008D1B9C">
            <w:pPr>
              <w:rPr>
                <w:rFonts w:asciiTheme="minorHAnsi" w:hAnsiTheme="minorHAnsi"/>
              </w:rPr>
            </w:pPr>
            <w:r w:rsidRPr="002617CF">
              <w:rPr>
                <w:rFonts w:asciiTheme="minorHAnsi" w:hAnsiTheme="minorHAnsi"/>
              </w:rPr>
              <w:t>16.6%</w:t>
            </w:r>
          </w:p>
        </w:tc>
        <w:tc>
          <w:tcPr>
            <w:tcW w:w="1134" w:type="dxa"/>
            <w:shd w:val="clear" w:color="auto" w:fill="F2F2F2" w:themeFill="background1" w:themeFillShade="F2"/>
          </w:tcPr>
          <w:p w14:paraId="18D80D4C" w14:textId="31A05D93" w:rsidR="00E25D4D" w:rsidRPr="00F36EE7" w:rsidRDefault="00F36EE7" w:rsidP="00896849">
            <w:pPr>
              <w:rPr>
                <w:rFonts w:asciiTheme="minorHAnsi" w:hAnsiTheme="minorHAnsi"/>
              </w:rPr>
            </w:pPr>
            <w:r w:rsidRPr="00F36EE7">
              <w:rPr>
                <w:rFonts w:asciiTheme="minorHAnsi" w:hAnsiTheme="minorHAnsi"/>
              </w:rPr>
              <w:t>17</w:t>
            </w:r>
            <w:r w:rsidR="00E25D4D" w:rsidRPr="00F36EE7">
              <w:rPr>
                <w:rFonts w:asciiTheme="minorHAnsi" w:hAnsiTheme="minorHAnsi"/>
              </w:rPr>
              <w:t>%</w:t>
            </w:r>
          </w:p>
        </w:tc>
        <w:tc>
          <w:tcPr>
            <w:tcW w:w="992" w:type="dxa"/>
            <w:shd w:val="clear" w:color="auto" w:fill="F2F2F2" w:themeFill="background1" w:themeFillShade="F2"/>
          </w:tcPr>
          <w:p w14:paraId="3382CAC4" w14:textId="77777777" w:rsidR="00E25D4D" w:rsidRPr="002617CF" w:rsidRDefault="00E25D4D" w:rsidP="008D1B9C">
            <w:pPr>
              <w:rPr>
                <w:rFonts w:asciiTheme="minorHAnsi" w:hAnsiTheme="minorHAnsi"/>
                <w:i/>
              </w:rPr>
            </w:pPr>
            <w:r w:rsidRPr="002617CF">
              <w:rPr>
                <w:rFonts w:asciiTheme="minorHAnsi" w:hAnsiTheme="minorHAnsi"/>
                <w:i/>
              </w:rPr>
              <w:t>N/A</w:t>
            </w:r>
          </w:p>
        </w:tc>
        <w:tc>
          <w:tcPr>
            <w:tcW w:w="1134" w:type="dxa"/>
            <w:shd w:val="clear" w:color="auto" w:fill="F2F2F2" w:themeFill="background1" w:themeFillShade="F2"/>
          </w:tcPr>
          <w:p w14:paraId="3BA996D9" w14:textId="77777777" w:rsidR="00E25D4D" w:rsidRPr="002617CF" w:rsidRDefault="00E25D4D" w:rsidP="008D1B9C">
            <w:pPr>
              <w:rPr>
                <w:rFonts w:asciiTheme="minorHAnsi" w:hAnsiTheme="minorHAnsi"/>
                <w:i/>
              </w:rPr>
            </w:pPr>
            <w:r w:rsidRPr="002617CF">
              <w:rPr>
                <w:rFonts w:asciiTheme="minorHAnsi" w:hAnsiTheme="minorHAnsi"/>
                <w:i/>
              </w:rPr>
              <w:t>N/A</w:t>
            </w:r>
          </w:p>
        </w:tc>
        <w:tc>
          <w:tcPr>
            <w:tcW w:w="1134" w:type="dxa"/>
            <w:shd w:val="clear" w:color="auto" w:fill="F2F2F2" w:themeFill="background1" w:themeFillShade="F2"/>
          </w:tcPr>
          <w:p w14:paraId="740CCDE8" w14:textId="77777777" w:rsidR="00E25D4D" w:rsidRPr="002617CF" w:rsidRDefault="00E25D4D" w:rsidP="008D1B9C">
            <w:pPr>
              <w:rPr>
                <w:rFonts w:asciiTheme="minorHAnsi" w:hAnsiTheme="minorHAnsi"/>
                <w:i/>
              </w:rPr>
            </w:pPr>
            <w:r w:rsidRPr="002617CF">
              <w:rPr>
                <w:rFonts w:asciiTheme="minorHAnsi" w:hAnsiTheme="minorHAnsi"/>
                <w:i/>
              </w:rPr>
              <w:t>TBC</w:t>
            </w:r>
          </w:p>
        </w:tc>
      </w:tr>
    </w:tbl>
    <w:p w14:paraId="20D77C13" w14:textId="77777777" w:rsidR="00896849" w:rsidRDefault="00896849" w:rsidP="00E25D4D">
      <w:pPr>
        <w:rPr>
          <w:rFonts w:asciiTheme="minorHAnsi" w:hAnsiTheme="minorHAnsi"/>
          <w:i/>
          <w:sz w:val="18"/>
        </w:rPr>
      </w:pPr>
    </w:p>
    <w:p w14:paraId="0EE112E3" w14:textId="77777777" w:rsidR="00E25D4D" w:rsidRPr="002617CF" w:rsidRDefault="00E25D4D" w:rsidP="00E25D4D">
      <w:pPr>
        <w:rPr>
          <w:rFonts w:asciiTheme="minorHAnsi" w:hAnsiTheme="minorHAnsi"/>
          <w:i/>
          <w:sz w:val="18"/>
        </w:rPr>
      </w:pPr>
      <w:r w:rsidRPr="002617CF">
        <w:rPr>
          <w:rFonts w:asciiTheme="minorHAnsi" w:hAnsiTheme="minorHAnsi"/>
          <w:i/>
          <w:sz w:val="18"/>
        </w:rPr>
        <w:t>*2017/18 fee and access plan targets are currently under consideration</w:t>
      </w:r>
    </w:p>
    <w:p w14:paraId="6B9E5951" w14:textId="77777777" w:rsidR="00E25D4D" w:rsidRPr="002617CF" w:rsidRDefault="00E25D4D" w:rsidP="00E25D4D">
      <w:pPr>
        <w:rPr>
          <w:rFonts w:asciiTheme="minorHAnsi" w:hAnsiTheme="minorHAnsi"/>
        </w:rPr>
      </w:pPr>
    </w:p>
    <w:p w14:paraId="34D563E0" w14:textId="77777777" w:rsidR="00E25D4D" w:rsidRPr="002617CF" w:rsidRDefault="00E25D4D" w:rsidP="00E25D4D">
      <w:pPr>
        <w:tabs>
          <w:tab w:val="left" w:pos="7116"/>
        </w:tabs>
        <w:rPr>
          <w:rFonts w:asciiTheme="minorHAnsi" w:hAnsiTheme="minorHAnsi"/>
          <w:b/>
        </w:rPr>
      </w:pPr>
      <w:r w:rsidRPr="002617CF">
        <w:rPr>
          <w:rFonts w:asciiTheme="minorHAnsi" w:hAnsiTheme="minorHAnsi"/>
          <w:b/>
        </w:rPr>
        <w:t>Rationale for keeping the same CF/WIMD measure</w:t>
      </w:r>
      <w:r w:rsidRPr="002617CF">
        <w:rPr>
          <w:rFonts w:asciiTheme="minorHAnsi" w:hAnsiTheme="minorHAnsi"/>
          <w:b/>
        </w:rPr>
        <w:tab/>
      </w:r>
    </w:p>
    <w:p w14:paraId="79654E21" w14:textId="77777777" w:rsidR="008D1B9C" w:rsidRPr="002617CF" w:rsidRDefault="008D1B9C" w:rsidP="00E25D4D">
      <w:pPr>
        <w:rPr>
          <w:rFonts w:asciiTheme="minorHAnsi" w:hAnsiTheme="minorHAnsi"/>
        </w:rPr>
      </w:pPr>
    </w:p>
    <w:p w14:paraId="3E734C50" w14:textId="77777777" w:rsidR="00E25D4D" w:rsidRPr="002617CF" w:rsidRDefault="00E25D4D" w:rsidP="00E25D4D">
      <w:pPr>
        <w:rPr>
          <w:rFonts w:asciiTheme="minorHAnsi" w:hAnsiTheme="minorHAnsi"/>
        </w:rPr>
      </w:pPr>
      <w:r w:rsidRPr="002617CF">
        <w:rPr>
          <w:rFonts w:asciiTheme="minorHAnsi" w:hAnsiTheme="minorHAnsi"/>
        </w:rPr>
        <w:t xml:space="preserve">Retaining this measure would demonstrate our commitment to a Welsh Government priority. We want a </w:t>
      </w:r>
      <w:proofErr w:type="gramStart"/>
      <w:r w:rsidRPr="002617CF">
        <w:rPr>
          <w:rFonts w:asciiTheme="minorHAnsi" w:hAnsiTheme="minorHAnsi"/>
        </w:rPr>
        <w:t>measure which</w:t>
      </w:r>
      <w:proofErr w:type="gramEnd"/>
      <w:r w:rsidRPr="002617CF">
        <w:rPr>
          <w:rFonts w:asciiTheme="minorHAnsi" w:hAnsiTheme="minorHAnsi"/>
        </w:rPr>
        <w:t xml:space="preserve"> demonstrates our performance in reaching and recruiting students from disadvantaged areas in Wales.</w:t>
      </w:r>
    </w:p>
    <w:p w14:paraId="68436A82" w14:textId="77777777" w:rsidR="008D1B9C" w:rsidRPr="002617CF" w:rsidRDefault="008D1B9C" w:rsidP="00E25D4D">
      <w:pPr>
        <w:rPr>
          <w:rFonts w:asciiTheme="minorHAnsi" w:hAnsiTheme="minorHAnsi"/>
        </w:rPr>
      </w:pPr>
    </w:p>
    <w:p w14:paraId="7D59E812" w14:textId="77777777" w:rsidR="00E25D4D" w:rsidRPr="002617CF" w:rsidRDefault="00E25D4D" w:rsidP="00E25D4D">
      <w:pPr>
        <w:rPr>
          <w:rFonts w:asciiTheme="minorHAnsi" w:hAnsiTheme="minorHAnsi"/>
        </w:rPr>
      </w:pPr>
      <w:r w:rsidRPr="002617CF">
        <w:rPr>
          <w:rFonts w:asciiTheme="minorHAnsi" w:hAnsiTheme="minorHAnsi"/>
        </w:rPr>
        <w:t xml:space="preserve">The Communities First/WIMD measure uses Welsh Government postcode data so </w:t>
      </w:r>
      <w:proofErr w:type="gramStart"/>
      <w:r w:rsidRPr="002617CF">
        <w:rPr>
          <w:rFonts w:asciiTheme="minorHAnsi" w:hAnsiTheme="minorHAnsi"/>
        </w:rPr>
        <w:t>is aligned</w:t>
      </w:r>
      <w:proofErr w:type="gramEnd"/>
      <w:r w:rsidRPr="002617CF">
        <w:rPr>
          <w:rFonts w:asciiTheme="minorHAnsi" w:hAnsiTheme="minorHAnsi"/>
        </w:rPr>
        <w:t xml:space="preserve"> with publicly available information.</w:t>
      </w:r>
    </w:p>
    <w:p w14:paraId="7D28FB7D" w14:textId="77777777" w:rsidR="008D1B9C" w:rsidRPr="002617CF" w:rsidRDefault="008D1B9C" w:rsidP="00E25D4D">
      <w:pPr>
        <w:rPr>
          <w:rFonts w:asciiTheme="minorHAnsi" w:hAnsiTheme="minorHAnsi"/>
        </w:rPr>
      </w:pPr>
    </w:p>
    <w:p w14:paraId="2844DB7B" w14:textId="77777777" w:rsidR="00E25D4D" w:rsidRPr="002617CF" w:rsidRDefault="00E25D4D" w:rsidP="00E25D4D">
      <w:pPr>
        <w:rPr>
          <w:rFonts w:asciiTheme="minorHAnsi" w:hAnsiTheme="minorHAnsi"/>
        </w:rPr>
      </w:pPr>
      <w:r w:rsidRPr="002617CF">
        <w:rPr>
          <w:rFonts w:asciiTheme="minorHAnsi" w:hAnsiTheme="minorHAnsi"/>
        </w:rPr>
        <w:t>Even if HEFCW stopped calculating performance against this target, the University would be able to source the data needed to continue to monitor our performance against this target.</w:t>
      </w:r>
    </w:p>
    <w:p w14:paraId="74A4B4E7" w14:textId="77777777" w:rsidR="008D1B9C" w:rsidRPr="002617CF" w:rsidRDefault="008D1B9C" w:rsidP="00E25D4D">
      <w:pPr>
        <w:rPr>
          <w:rFonts w:asciiTheme="minorHAnsi" w:hAnsiTheme="minorHAnsi"/>
        </w:rPr>
      </w:pPr>
    </w:p>
    <w:p w14:paraId="6DBCFD19" w14:textId="77777777" w:rsidR="00E25D4D" w:rsidRPr="002617CF" w:rsidRDefault="00E25D4D" w:rsidP="00E25D4D">
      <w:pPr>
        <w:pBdr>
          <w:top w:val="single" w:sz="4" w:space="1" w:color="auto"/>
          <w:left w:val="single" w:sz="4" w:space="1" w:color="auto"/>
          <w:bottom w:val="single" w:sz="4" w:space="1" w:color="auto"/>
          <w:right w:val="single" w:sz="4" w:space="1" w:color="auto"/>
        </w:pBdr>
        <w:rPr>
          <w:rFonts w:asciiTheme="minorHAnsi" w:hAnsiTheme="minorHAnsi"/>
          <w:b/>
        </w:rPr>
      </w:pPr>
      <w:r w:rsidRPr="002617CF">
        <w:rPr>
          <w:rStyle w:val="Strong"/>
          <w:rFonts w:asciiTheme="minorHAnsi" w:hAnsiTheme="minorHAnsi" w:cs="Arial"/>
          <w:color w:val="000000"/>
          <w:szCs w:val="19"/>
          <w:bdr w:val="none" w:sz="0" w:space="0" w:color="auto" w:frame="1"/>
          <w:shd w:val="clear" w:color="auto" w:fill="FFFFFF"/>
        </w:rPr>
        <w:t>Proposed measure/indicator 2: To remain within the statistically significant range from the sector benchmark for the p</w:t>
      </w:r>
      <w:r w:rsidRPr="002617CF">
        <w:rPr>
          <w:rFonts w:asciiTheme="minorHAnsi" w:hAnsiTheme="minorHAnsi"/>
          <w:b/>
        </w:rPr>
        <w:t>ercentage of full-time undergraduates from low-participation neighbourhoods (LPN) (POLAR data).</w:t>
      </w:r>
    </w:p>
    <w:p w14:paraId="0646999A" w14:textId="77777777" w:rsidR="008D1B9C" w:rsidRPr="002617CF" w:rsidRDefault="008D1B9C" w:rsidP="00E25D4D">
      <w:pPr>
        <w:pBdr>
          <w:top w:val="single" w:sz="4" w:space="1" w:color="auto"/>
          <w:left w:val="single" w:sz="4" w:space="1" w:color="auto"/>
          <w:bottom w:val="single" w:sz="4" w:space="1" w:color="auto"/>
          <w:right w:val="single" w:sz="4" w:space="1" w:color="auto"/>
        </w:pBdr>
        <w:rPr>
          <w:rFonts w:asciiTheme="minorHAnsi" w:hAnsiTheme="minorHAnsi"/>
          <w:b/>
          <w:u w:val="single"/>
        </w:rPr>
      </w:pPr>
    </w:p>
    <w:p w14:paraId="5D7F639D" w14:textId="77777777" w:rsidR="00E25D4D" w:rsidRPr="002617CF" w:rsidRDefault="00E25D4D" w:rsidP="00E25D4D">
      <w:pPr>
        <w:pBdr>
          <w:top w:val="single" w:sz="4" w:space="1" w:color="auto"/>
          <w:left w:val="single" w:sz="4" w:space="1" w:color="auto"/>
          <w:bottom w:val="single" w:sz="4" w:space="1" w:color="auto"/>
          <w:right w:val="single" w:sz="4" w:space="1" w:color="auto"/>
        </w:pBdr>
        <w:rPr>
          <w:rFonts w:asciiTheme="minorHAnsi" w:hAnsiTheme="minorHAnsi"/>
          <w:b/>
        </w:rPr>
      </w:pPr>
      <w:r w:rsidRPr="002617CF">
        <w:rPr>
          <w:rFonts w:asciiTheme="minorHAnsi" w:hAnsiTheme="minorHAnsi"/>
          <w:b/>
        </w:rPr>
        <w:t>(CHANGE low participation measure)</w:t>
      </w:r>
    </w:p>
    <w:p w14:paraId="7B1D607D" w14:textId="77777777" w:rsidR="008D1B9C" w:rsidRPr="002617CF" w:rsidRDefault="008D1B9C" w:rsidP="00E25D4D">
      <w:pPr>
        <w:rPr>
          <w:rFonts w:asciiTheme="minorHAnsi" w:hAnsiTheme="minorHAnsi"/>
        </w:rPr>
      </w:pPr>
    </w:p>
    <w:p w14:paraId="310B8F2D" w14:textId="77777777" w:rsidR="00E25D4D" w:rsidRPr="002617CF" w:rsidRDefault="00E25D4D" w:rsidP="00E25D4D">
      <w:pPr>
        <w:rPr>
          <w:rFonts w:asciiTheme="minorHAnsi" w:hAnsiTheme="minorHAnsi"/>
        </w:rPr>
      </w:pPr>
      <w:r w:rsidRPr="002617CF">
        <w:rPr>
          <w:rFonts w:asciiTheme="minorHAnsi" w:hAnsiTheme="minorHAnsi"/>
        </w:rPr>
        <w:t xml:space="preserve">Table 2 below shows the University’s performance against the </w:t>
      </w:r>
      <w:r w:rsidRPr="002617CF">
        <w:rPr>
          <w:rFonts w:asciiTheme="minorHAnsi" w:hAnsiTheme="minorHAnsi"/>
          <w:i/>
        </w:rPr>
        <w:t>current</w:t>
      </w:r>
      <w:r w:rsidRPr="002617CF">
        <w:rPr>
          <w:rFonts w:asciiTheme="minorHAnsi" w:hAnsiTheme="minorHAnsi"/>
        </w:rPr>
        <w:t xml:space="preserve"> measure of performance in recruiting students from low-participation neighbourhoods (LPN) (this measure uses POLAR data for all modes, levels and years of study). We perform well against this measure: we have seen an upwards trajectory since 2011/12 to 2013/14 and based on estimated 2014/15 data we expect to exceed the 2015/16 target early in 2014/15. In addition, Cardiff University has the second largest UK LPN cohort in Wales. We are ranked </w:t>
      </w:r>
      <w:proofErr w:type="gramStart"/>
      <w:r w:rsidRPr="002617CF">
        <w:rPr>
          <w:rFonts w:asciiTheme="minorHAnsi" w:hAnsiTheme="minorHAnsi"/>
        </w:rPr>
        <w:t>9</w:t>
      </w:r>
      <w:r w:rsidRPr="002617CF">
        <w:rPr>
          <w:rFonts w:asciiTheme="minorHAnsi" w:hAnsiTheme="minorHAnsi"/>
          <w:vertAlign w:val="superscript"/>
        </w:rPr>
        <w:t>th</w:t>
      </w:r>
      <w:proofErr w:type="gramEnd"/>
      <w:r w:rsidRPr="002617CF">
        <w:rPr>
          <w:rFonts w:asciiTheme="minorHAnsi" w:hAnsiTheme="minorHAnsi"/>
        </w:rPr>
        <w:t xml:space="preserve"> out of 9 HEIs for proportion of these students overall. </w:t>
      </w:r>
    </w:p>
    <w:p w14:paraId="23807D41" w14:textId="77777777" w:rsidR="002E6CF9" w:rsidRPr="002617CF" w:rsidRDefault="002E6CF9" w:rsidP="00E25D4D">
      <w:pPr>
        <w:rPr>
          <w:rFonts w:asciiTheme="minorHAnsi" w:hAnsiTheme="minorHAnsi"/>
        </w:rPr>
      </w:pPr>
    </w:p>
    <w:p w14:paraId="1351DA2B" w14:textId="77777777" w:rsidR="002E6CF9" w:rsidRPr="002617CF" w:rsidRDefault="00E25D4D" w:rsidP="00E25D4D">
      <w:pPr>
        <w:rPr>
          <w:rFonts w:asciiTheme="minorHAnsi" w:hAnsiTheme="minorHAnsi"/>
          <w:b/>
        </w:rPr>
      </w:pPr>
      <w:r w:rsidRPr="002617CF">
        <w:rPr>
          <w:rFonts w:asciiTheme="minorHAnsi" w:hAnsiTheme="minorHAnsi"/>
          <w:b/>
        </w:rPr>
        <w:t>Rationale for proposing using a different LPN measure:</w:t>
      </w:r>
    </w:p>
    <w:p w14:paraId="462B55E6" w14:textId="77777777" w:rsidR="002E6CF9" w:rsidRPr="002617CF" w:rsidRDefault="002E6CF9" w:rsidP="00E25D4D">
      <w:pPr>
        <w:rPr>
          <w:rFonts w:asciiTheme="minorHAnsi" w:hAnsiTheme="minorHAnsi"/>
          <w:b/>
        </w:rPr>
      </w:pPr>
    </w:p>
    <w:p w14:paraId="078B2DD4" w14:textId="77777777" w:rsidR="00E25D4D" w:rsidRPr="002617CF" w:rsidRDefault="00E25D4D" w:rsidP="00E25D4D">
      <w:pPr>
        <w:rPr>
          <w:rFonts w:asciiTheme="minorHAnsi" w:hAnsiTheme="minorHAnsi"/>
        </w:rPr>
      </w:pPr>
      <w:r w:rsidRPr="002617CF">
        <w:rPr>
          <w:rFonts w:asciiTheme="minorHAnsi" w:hAnsiTheme="minorHAnsi"/>
        </w:rPr>
        <w:t xml:space="preserve">Although we perform well against the current measure (as described in the preceding </w:t>
      </w:r>
      <w:proofErr w:type="gramStart"/>
      <w:r w:rsidRPr="002617CF">
        <w:rPr>
          <w:rFonts w:asciiTheme="minorHAnsi" w:hAnsiTheme="minorHAnsi"/>
        </w:rPr>
        <w:t>paragraph)</w:t>
      </w:r>
      <w:proofErr w:type="gramEnd"/>
      <w:r w:rsidRPr="002617CF">
        <w:rPr>
          <w:rFonts w:asciiTheme="minorHAnsi" w:hAnsiTheme="minorHAnsi"/>
        </w:rPr>
        <w:t xml:space="preserve"> the </w:t>
      </w:r>
      <w:r w:rsidRPr="002617CF">
        <w:rPr>
          <w:rFonts w:asciiTheme="minorHAnsi" w:hAnsiTheme="minorHAnsi"/>
          <w:i/>
        </w:rPr>
        <w:t>current</w:t>
      </w:r>
      <w:r w:rsidRPr="002617CF">
        <w:rPr>
          <w:rFonts w:asciiTheme="minorHAnsi" w:hAnsiTheme="minorHAnsi"/>
        </w:rPr>
        <w:t xml:space="preserve"> LPN measure includes POLAR data for all modes, levels and years of study. It </w:t>
      </w:r>
      <w:proofErr w:type="gramStart"/>
      <w:r w:rsidRPr="002617CF">
        <w:rPr>
          <w:rFonts w:asciiTheme="minorHAnsi" w:hAnsiTheme="minorHAnsi"/>
        </w:rPr>
        <w:t>is known</w:t>
      </w:r>
      <w:proofErr w:type="gramEnd"/>
      <w:r w:rsidRPr="002617CF">
        <w:rPr>
          <w:rFonts w:asciiTheme="minorHAnsi" w:hAnsiTheme="minorHAnsi"/>
        </w:rPr>
        <w:t xml:space="preserve"> however that POLAR data is not relevant for postgraduate students. This is also a more complex measure </w:t>
      </w:r>
      <w:proofErr w:type="gramStart"/>
      <w:r w:rsidRPr="002617CF">
        <w:rPr>
          <w:rFonts w:asciiTheme="minorHAnsi" w:hAnsiTheme="minorHAnsi"/>
        </w:rPr>
        <w:t>than any of the standard HESA widening participation performance indicators (WP PIs) which we could instead use</w:t>
      </w:r>
      <w:proofErr w:type="gramEnd"/>
      <w:r w:rsidRPr="002617CF">
        <w:rPr>
          <w:rFonts w:asciiTheme="minorHAnsi" w:hAnsiTheme="minorHAnsi"/>
        </w:rPr>
        <w:t xml:space="preserve">. </w:t>
      </w:r>
      <w:proofErr w:type="gramStart"/>
      <w:r w:rsidRPr="002617CF">
        <w:rPr>
          <w:rFonts w:asciiTheme="minorHAnsi" w:hAnsiTheme="minorHAnsi"/>
        </w:rPr>
        <w:t>Therefore</w:t>
      </w:r>
      <w:proofErr w:type="gramEnd"/>
      <w:r w:rsidRPr="002617CF">
        <w:rPr>
          <w:rFonts w:asciiTheme="minorHAnsi" w:hAnsiTheme="minorHAnsi"/>
        </w:rPr>
        <w:t xml:space="preserve"> if HEFCW stop measuring and calculating performance against this measure, it could be difficult for us to collect the information accurately. </w:t>
      </w:r>
    </w:p>
    <w:p w14:paraId="0169C642" w14:textId="77777777" w:rsidR="002E6CF9" w:rsidRPr="002617CF" w:rsidRDefault="002E6CF9" w:rsidP="00E25D4D">
      <w:pPr>
        <w:rPr>
          <w:rFonts w:asciiTheme="minorHAnsi" w:hAnsiTheme="minorHAnsi"/>
        </w:rPr>
      </w:pPr>
    </w:p>
    <w:p w14:paraId="51E773D8" w14:textId="77777777" w:rsidR="00E25D4D" w:rsidRPr="002617CF" w:rsidRDefault="00E25D4D" w:rsidP="00E25D4D">
      <w:pPr>
        <w:rPr>
          <w:rFonts w:asciiTheme="minorHAnsi" w:hAnsiTheme="minorHAnsi"/>
        </w:rPr>
      </w:pPr>
      <w:r w:rsidRPr="002617CF">
        <w:rPr>
          <w:rFonts w:asciiTheme="minorHAnsi" w:hAnsiTheme="minorHAnsi"/>
        </w:rPr>
        <w:t xml:space="preserve">Table 3 below shows the University’s performance against an </w:t>
      </w:r>
      <w:r w:rsidRPr="002617CF">
        <w:rPr>
          <w:rFonts w:asciiTheme="minorHAnsi" w:hAnsiTheme="minorHAnsi"/>
          <w:i/>
        </w:rPr>
        <w:t>alternative</w:t>
      </w:r>
      <w:r w:rsidRPr="002617CF">
        <w:rPr>
          <w:rFonts w:asciiTheme="minorHAnsi" w:hAnsiTheme="minorHAnsi"/>
        </w:rPr>
        <w:t xml:space="preserve"> measure of performance in recruiting students from LPN (this measure uses POLAR data for full-time, undergraduate students). This is the measure that we propose using instead. </w:t>
      </w:r>
      <w:proofErr w:type="gramStart"/>
      <w:r w:rsidRPr="002617CF">
        <w:rPr>
          <w:rFonts w:asciiTheme="minorHAnsi" w:hAnsiTheme="minorHAnsi"/>
        </w:rPr>
        <w:t>Though</w:t>
      </w:r>
      <w:proofErr w:type="gramEnd"/>
      <w:r w:rsidRPr="002617CF">
        <w:rPr>
          <w:rFonts w:asciiTheme="minorHAnsi" w:hAnsiTheme="minorHAnsi"/>
        </w:rPr>
        <w:t xml:space="preserve"> our performance has historically been slightly above or below the sector benchmark, the variance is not statistically significant in any cases. Most recently, in 2014/15 we were above the benchmark, with 9.6% of our students against a sector benchmark of 8.7%.</w:t>
      </w:r>
    </w:p>
    <w:p w14:paraId="37540335" w14:textId="77777777" w:rsidR="002E6CF9" w:rsidRPr="002617CF" w:rsidRDefault="002E6CF9" w:rsidP="00E25D4D">
      <w:pPr>
        <w:rPr>
          <w:rFonts w:asciiTheme="minorHAnsi" w:hAnsiTheme="minorHAnsi"/>
        </w:rPr>
      </w:pPr>
    </w:p>
    <w:p w14:paraId="2D0BD01D" w14:textId="77777777" w:rsidR="00E25D4D" w:rsidRPr="002617CF" w:rsidRDefault="00E25D4D" w:rsidP="00E25D4D">
      <w:pPr>
        <w:rPr>
          <w:rFonts w:asciiTheme="minorHAnsi" w:hAnsiTheme="minorHAnsi"/>
        </w:rPr>
      </w:pPr>
      <w:r w:rsidRPr="002617CF">
        <w:rPr>
          <w:rFonts w:asciiTheme="minorHAnsi" w:hAnsiTheme="minorHAnsi"/>
        </w:rPr>
        <w:t xml:space="preserve">By </w:t>
      </w:r>
      <w:proofErr w:type="gramStart"/>
      <w:r w:rsidRPr="002617CF">
        <w:rPr>
          <w:rFonts w:asciiTheme="minorHAnsi" w:hAnsiTheme="minorHAnsi"/>
        </w:rPr>
        <w:t>contrast</w:t>
      </w:r>
      <w:proofErr w:type="gramEnd"/>
      <w:r w:rsidRPr="002617CF">
        <w:rPr>
          <w:rFonts w:asciiTheme="minorHAnsi" w:hAnsiTheme="minorHAnsi"/>
        </w:rPr>
        <w:t xml:space="preserve"> if we use one of the standard HESA WP PIs as an indicator of our success we would have a cross-border measure that we can use to benchmark our performance against UK-wide HEIs, including against universities with a more similar student body to Cardiff University.</w:t>
      </w:r>
    </w:p>
    <w:p w14:paraId="393BA36E" w14:textId="77777777" w:rsidR="002E6CF9" w:rsidRPr="002617CF" w:rsidRDefault="002E6CF9" w:rsidP="00E25D4D">
      <w:pPr>
        <w:rPr>
          <w:rFonts w:asciiTheme="minorHAnsi" w:hAnsiTheme="minorHAnsi"/>
        </w:rPr>
      </w:pPr>
    </w:p>
    <w:p w14:paraId="3FF983F5" w14:textId="77777777" w:rsidR="00E25D4D" w:rsidRPr="002617CF" w:rsidRDefault="00E25D4D" w:rsidP="00E25D4D">
      <w:pPr>
        <w:rPr>
          <w:rFonts w:asciiTheme="minorHAnsi" w:hAnsiTheme="minorHAnsi"/>
          <w:i/>
        </w:rPr>
      </w:pPr>
      <w:r w:rsidRPr="002617CF">
        <w:rPr>
          <w:rFonts w:asciiTheme="minorHAnsi" w:hAnsiTheme="minorHAnsi"/>
          <w:i/>
        </w:rPr>
        <w:t xml:space="preserve">Table 2: </w:t>
      </w:r>
      <w:r w:rsidRPr="002617CF">
        <w:rPr>
          <w:rFonts w:asciiTheme="minorHAnsi" w:hAnsiTheme="minorHAnsi"/>
        </w:rPr>
        <w:t xml:space="preserve">(Current measure </w:t>
      </w:r>
      <w:r w:rsidRPr="002617CF">
        <w:rPr>
          <w:rFonts w:asciiTheme="minorHAnsi" w:hAnsiTheme="minorHAnsi"/>
          <w:u w:val="single"/>
        </w:rPr>
        <w:t>not to be retained)</w:t>
      </w:r>
      <w:r w:rsidRPr="002617CF">
        <w:rPr>
          <w:rFonts w:asciiTheme="minorHAnsi" w:hAnsiTheme="minorHAnsi"/>
          <w:i/>
        </w:rPr>
        <w:t xml:space="preserve"> Percentage of UK students recruited from UK LPNs (POLAR data for all modes, levels and years of study)</w:t>
      </w:r>
    </w:p>
    <w:p w14:paraId="62483567" w14:textId="77777777" w:rsidR="002E6CF9" w:rsidRPr="002617CF" w:rsidRDefault="002E6CF9" w:rsidP="00E25D4D">
      <w:pPr>
        <w:rPr>
          <w:rFonts w:asciiTheme="minorHAnsi" w:hAnsiTheme="minorHAnsi"/>
          <w:i/>
        </w:rPr>
      </w:pPr>
    </w:p>
    <w:tbl>
      <w:tblPr>
        <w:tblStyle w:val="TableGrid"/>
        <w:tblW w:w="0" w:type="auto"/>
        <w:tblInd w:w="-113" w:type="dxa"/>
        <w:tblLook w:val="04A0" w:firstRow="1" w:lastRow="0" w:firstColumn="1" w:lastColumn="0" w:noHBand="0" w:noVBand="1"/>
      </w:tblPr>
      <w:tblGrid>
        <w:gridCol w:w="879"/>
        <w:gridCol w:w="879"/>
        <w:gridCol w:w="850"/>
        <w:gridCol w:w="851"/>
        <w:gridCol w:w="1134"/>
        <w:gridCol w:w="992"/>
        <w:gridCol w:w="1134"/>
      </w:tblGrid>
      <w:tr w:rsidR="00E25D4D" w:rsidRPr="002617CF" w14:paraId="5AD64C6A" w14:textId="77777777" w:rsidTr="008D1B9C">
        <w:tc>
          <w:tcPr>
            <w:tcW w:w="879" w:type="dxa"/>
          </w:tcPr>
          <w:p w14:paraId="0735A3BD" w14:textId="77777777" w:rsidR="00E25D4D" w:rsidRPr="002617CF" w:rsidRDefault="00E25D4D" w:rsidP="008D1B9C">
            <w:pPr>
              <w:rPr>
                <w:rFonts w:asciiTheme="minorHAnsi" w:hAnsiTheme="minorHAnsi"/>
              </w:rPr>
            </w:pPr>
            <w:r w:rsidRPr="002617CF">
              <w:rPr>
                <w:rFonts w:asciiTheme="minorHAnsi" w:hAnsiTheme="minorHAnsi"/>
              </w:rPr>
              <w:t>Year</w:t>
            </w:r>
          </w:p>
        </w:tc>
        <w:tc>
          <w:tcPr>
            <w:tcW w:w="879" w:type="dxa"/>
          </w:tcPr>
          <w:p w14:paraId="2FD72BAE" w14:textId="77777777" w:rsidR="00E25D4D" w:rsidRPr="002617CF" w:rsidRDefault="00E25D4D" w:rsidP="008D1B9C">
            <w:pPr>
              <w:rPr>
                <w:rFonts w:asciiTheme="minorHAnsi" w:hAnsiTheme="minorHAnsi"/>
              </w:rPr>
            </w:pPr>
            <w:r w:rsidRPr="002617CF">
              <w:rPr>
                <w:rFonts w:asciiTheme="minorHAnsi" w:hAnsiTheme="minorHAnsi"/>
              </w:rPr>
              <w:t>11-12</w:t>
            </w:r>
          </w:p>
        </w:tc>
        <w:tc>
          <w:tcPr>
            <w:tcW w:w="850" w:type="dxa"/>
          </w:tcPr>
          <w:p w14:paraId="6CB37784" w14:textId="77777777" w:rsidR="00E25D4D" w:rsidRPr="002617CF" w:rsidRDefault="00E25D4D" w:rsidP="008D1B9C">
            <w:pPr>
              <w:rPr>
                <w:rFonts w:asciiTheme="minorHAnsi" w:hAnsiTheme="minorHAnsi"/>
              </w:rPr>
            </w:pPr>
            <w:r w:rsidRPr="002617CF">
              <w:rPr>
                <w:rFonts w:asciiTheme="minorHAnsi" w:hAnsiTheme="minorHAnsi"/>
              </w:rPr>
              <w:t>12-13</w:t>
            </w:r>
          </w:p>
        </w:tc>
        <w:tc>
          <w:tcPr>
            <w:tcW w:w="851" w:type="dxa"/>
          </w:tcPr>
          <w:p w14:paraId="3BFD03D5" w14:textId="77777777" w:rsidR="00E25D4D" w:rsidRPr="002617CF" w:rsidRDefault="00E25D4D" w:rsidP="008D1B9C">
            <w:pPr>
              <w:rPr>
                <w:rFonts w:asciiTheme="minorHAnsi" w:hAnsiTheme="minorHAnsi"/>
              </w:rPr>
            </w:pPr>
            <w:r w:rsidRPr="002617CF">
              <w:rPr>
                <w:rFonts w:asciiTheme="minorHAnsi" w:hAnsiTheme="minorHAnsi"/>
              </w:rPr>
              <w:t>13-14</w:t>
            </w:r>
          </w:p>
        </w:tc>
        <w:tc>
          <w:tcPr>
            <w:tcW w:w="1134" w:type="dxa"/>
            <w:shd w:val="clear" w:color="auto" w:fill="F2F2F2" w:themeFill="background1" w:themeFillShade="F2"/>
          </w:tcPr>
          <w:p w14:paraId="7488C609" w14:textId="77777777" w:rsidR="00E25D4D" w:rsidRPr="002617CF" w:rsidRDefault="00E25D4D" w:rsidP="008D1B9C">
            <w:pPr>
              <w:rPr>
                <w:rFonts w:asciiTheme="minorHAnsi" w:hAnsiTheme="minorHAnsi"/>
                <w:i/>
              </w:rPr>
            </w:pPr>
            <w:r w:rsidRPr="002617CF">
              <w:rPr>
                <w:rFonts w:asciiTheme="minorHAnsi" w:hAnsiTheme="minorHAnsi"/>
                <w:i/>
              </w:rPr>
              <w:t>14-15</w:t>
            </w:r>
          </w:p>
        </w:tc>
        <w:tc>
          <w:tcPr>
            <w:tcW w:w="992" w:type="dxa"/>
            <w:shd w:val="clear" w:color="auto" w:fill="F2F2F2" w:themeFill="background1" w:themeFillShade="F2"/>
          </w:tcPr>
          <w:p w14:paraId="3E22484C" w14:textId="77777777" w:rsidR="00E25D4D" w:rsidRPr="002617CF" w:rsidRDefault="00E25D4D" w:rsidP="008D1B9C">
            <w:pPr>
              <w:rPr>
                <w:rFonts w:asciiTheme="minorHAnsi" w:hAnsiTheme="minorHAnsi"/>
                <w:i/>
              </w:rPr>
            </w:pPr>
            <w:r w:rsidRPr="002617CF">
              <w:rPr>
                <w:rFonts w:asciiTheme="minorHAnsi" w:hAnsiTheme="minorHAnsi"/>
                <w:i/>
              </w:rPr>
              <w:t>15-16</w:t>
            </w:r>
          </w:p>
        </w:tc>
        <w:tc>
          <w:tcPr>
            <w:tcW w:w="1134" w:type="dxa"/>
            <w:shd w:val="clear" w:color="auto" w:fill="F2F2F2" w:themeFill="background1" w:themeFillShade="F2"/>
          </w:tcPr>
          <w:p w14:paraId="443C5D5B" w14:textId="77777777" w:rsidR="00E25D4D" w:rsidRPr="002617CF" w:rsidRDefault="00E25D4D" w:rsidP="008D1B9C">
            <w:pPr>
              <w:rPr>
                <w:rFonts w:asciiTheme="minorHAnsi" w:hAnsiTheme="minorHAnsi"/>
                <w:i/>
              </w:rPr>
            </w:pPr>
            <w:r w:rsidRPr="002617CF">
              <w:rPr>
                <w:rFonts w:asciiTheme="minorHAnsi" w:hAnsiTheme="minorHAnsi"/>
                <w:i/>
              </w:rPr>
              <w:t>16-17</w:t>
            </w:r>
          </w:p>
        </w:tc>
      </w:tr>
      <w:tr w:rsidR="00E25D4D" w:rsidRPr="002617CF" w14:paraId="2B7C8DC9" w14:textId="77777777" w:rsidTr="008D1B9C">
        <w:tc>
          <w:tcPr>
            <w:tcW w:w="879" w:type="dxa"/>
          </w:tcPr>
          <w:p w14:paraId="6A3E6EF9" w14:textId="77777777" w:rsidR="00E25D4D" w:rsidRPr="002617CF" w:rsidRDefault="00E25D4D" w:rsidP="008D1B9C">
            <w:pPr>
              <w:rPr>
                <w:rFonts w:asciiTheme="minorHAnsi" w:hAnsiTheme="minorHAnsi"/>
              </w:rPr>
            </w:pPr>
            <w:r w:rsidRPr="002617CF">
              <w:rPr>
                <w:rFonts w:asciiTheme="minorHAnsi" w:hAnsiTheme="minorHAnsi"/>
              </w:rPr>
              <w:t>Target</w:t>
            </w:r>
          </w:p>
        </w:tc>
        <w:tc>
          <w:tcPr>
            <w:tcW w:w="879" w:type="dxa"/>
          </w:tcPr>
          <w:p w14:paraId="783438F2" w14:textId="77777777" w:rsidR="00E25D4D" w:rsidRPr="002617CF" w:rsidRDefault="00E25D4D" w:rsidP="008D1B9C">
            <w:pPr>
              <w:rPr>
                <w:rFonts w:asciiTheme="minorHAnsi" w:hAnsiTheme="minorHAnsi"/>
              </w:rPr>
            </w:pPr>
            <w:r w:rsidRPr="002617CF">
              <w:rPr>
                <w:rFonts w:asciiTheme="minorHAnsi" w:hAnsiTheme="minorHAnsi"/>
              </w:rPr>
              <w:t>N/A</w:t>
            </w:r>
          </w:p>
        </w:tc>
        <w:tc>
          <w:tcPr>
            <w:tcW w:w="850" w:type="dxa"/>
          </w:tcPr>
          <w:p w14:paraId="06798ABD" w14:textId="77777777" w:rsidR="00E25D4D" w:rsidRPr="002617CF" w:rsidRDefault="00E25D4D" w:rsidP="008D1B9C">
            <w:pPr>
              <w:rPr>
                <w:rFonts w:asciiTheme="minorHAnsi" w:hAnsiTheme="minorHAnsi"/>
              </w:rPr>
            </w:pPr>
            <w:r w:rsidRPr="002617CF">
              <w:rPr>
                <w:rFonts w:asciiTheme="minorHAnsi" w:hAnsiTheme="minorHAnsi"/>
              </w:rPr>
              <w:t>N/A</w:t>
            </w:r>
          </w:p>
        </w:tc>
        <w:tc>
          <w:tcPr>
            <w:tcW w:w="851" w:type="dxa"/>
          </w:tcPr>
          <w:p w14:paraId="7FCC1AA5" w14:textId="77777777" w:rsidR="00E25D4D" w:rsidRPr="002617CF" w:rsidRDefault="00E25D4D" w:rsidP="008D1B9C">
            <w:pPr>
              <w:rPr>
                <w:rFonts w:asciiTheme="minorHAnsi" w:hAnsiTheme="minorHAnsi"/>
              </w:rPr>
            </w:pPr>
            <w:r w:rsidRPr="002617CF">
              <w:rPr>
                <w:rFonts w:asciiTheme="minorHAnsi" w:hAnsiTheme="minorHAnsi"/>
              </w:rPr>
              <w:t>21.2%</w:t>
            </w:r>
          </w:p>
        </w:tc>
        <w:tc>
          <w:tcPr>
            <w:tcW w:w="1134" w:type="dxa"/>
            <w:shd w:val="clear" w:color="auto" w:fill="F2F2F2" w:themeFill="background1" w:themeFillShade="F2"/>
          </w:tcPr>
          <w:p w14:paraId="54272FAA" w14:textId="77777777" w:rsidR="00E25D4D" w:rsidRPr="002617CF" w:rsidRDefault="00E25D4D" w:rsidP="008D1B9C">
            <w:pPr>
              <w:rPr>
                <w:rFonts w:asciiTheme="minorHAnsi" w:hAnsiTheme="minorHAnsi"/>
                <w:i/>
              </w:rPr>
            </w:pPr>
            <w:r w:rsidRPr="002617CF">
              <w:rPr>
                <w:rFonts w:asciiTheme="minorHAnsi" w:hAnsiTheme="minorHAnsi"/>
                <w:i/>
              </w:rPr>
              <w:t>21.6%</w:t>
            </w:r>
          </w:p>
        </w:tc>
        <w:tc>
          <w:tcPr>
            <w:tcW w:w="992" w:type="dxa"/>
            <w:shd w:val="clear" w:color="auto" w:fill="F2F2F2" w:themeFill="background1" w:themeFillShade="F2"/>
          </w:tcPr>
          <w:p w14:paraId="7E5C732E" w14:textId="77777777" w:rsidR="00E25D4D" w:rsidRPr="002617CF" w:rsidRDefault="00E25D4D" w:rsidP="008D1B9C">
            <w:pPr>
              <w:rPr>
                <w:rFonts w:asciiTheme="minorHAnsi" w:hAnsiTheme="minorHAnsi"/>
                <w:i/>
              </w:rPr>
            </w:pPr>
            <w:r w:rsidRPr="002617CF">
              <w:rPr>
                <w:rFonts w:asciiTheme="minorHAnsi" w:hAnsiTheme="minorHAnsi"/>
                <w:i/>
              </w:rPr>
              <w:t>22%</w:t>
            </w:r>
          </w:p>
        </w:tc>
        <w:tc>
          <w:tcPr>
            <w:tcW w:w="1134" w:type="dxa"/>
            <w:shd w:val="clear" w:color="auto" w:fill="F2F2F2" w:themeFill="background1" w:themeFillShade="F2"/>
          </w:tcPr>
          <w:p w14:paraId="3BBBB787" w14:textId="77777777" w:rsidR="00E25D4D" w:rsidRPr="002617CF" w:rsidRDefault="00E25D4D" w:rsidP="008D1B9C">
            <w:pPr>
              <w:rPr>
                <w:rFonts w:asciiTheme="minorHAnsi" w:hAnsiTheme="minorHAnsi"/>
                <w:i/>
              </w:rPr>
            </w:pPr>
            <w:r w:rsidRPr="002617CF">
              <w:rPr>
                <w:rFonts w:asciiTheme="minorHAnsi" w:hAnsiTheme="minorHAnsi"/>
                <w:i/>
              </w:rPr>
              <w:t>22.5%</w:t>
            </w:r>
          </w:p>
        </w:tc>
      </w:tr>
      <w:tr w:rsidR="00E25D4D" w:rsidRPr="002617CF" w14:paraId="1A30CF39" w14:textId="77777777" w:rsidTr="008D1B9C">
        <w:tc>
          <w:tcPr>
            <w:tcW w:w="879" w:type="dxa"/>
          </w:tcPr>
          <w:p w14:paraId="64582665" w14:textId="77777777" w:rsidR="00E25D4D" w:rsidRPr="002617CF" w:rsidRDefault="00E25D4D" w:rsidP="008D1B9C">
            <w:pPr>
              <w:rPr>
                <w:rFonts w:asciiTheme="minorHAnsi" w:hAnsiTheme="minorHAnsi"/>
              </w:rPr>
            </w:pPr>
            <w:r w:rsidRPr="002617CF">
              <w:rPr>
                <w:rFonts w:asciiTheme="minorHAnsi" w:hAnsiTheme="minorHAnsi"/>
              </w:rPr>
              <w:t>Actual</w:t>
            </w:r>
          </w:p>
        </w:tc>
        <w:tc>
          <w:tcPr>
            <w:tcW w:w="879" w:type="dxa"/>
          </w:tcPr>
          <w:p w14:paraId="24C5CA62" w14:textId="77777777" w:rsidR="00E25D4D" w:rsidRPr="002617CF" w:rsidRDefault="00E25D4D" w:rsidP="008D1B9C">
            <w:pPr>
              <w:rPr>
                <w:rFonts w:asciiTheme="minorHAnsi" w:hAnsiTheme="minorHAnsi"/>
              </w:rPr>
            </w:pPr>
            <w:r w:rsidRPr="002617CF">
              <w:rPr>
                <w:rFonts w:asciiTheme="minorHAnsi" w:hAnsiTheme="minorHAnsi"/>
              </w:rPr>
              <w:t>20.6%</w:t>
            </w:r>
          </w:p>
        </w:tc>
        <w:tc>
          <w:tcPr>
            <w:tcW w:w="850" w:type="dxa"/>
          </w:tcPr>
          <w:p w14:paraId="52F1D556" w14:textId="77777777" w:rsidR="00E25D4D" w:rsidRPr="002617CF" w:rsidRDefault="00E25D4D" w:rsidP="008D1B9C">
            <w:pPr>
              <w:rPr>
                <w:rFonts w:asciiTheme="minorHAnsi" w:hAnsiTheme="minorHAnsi"/>
              </w:rPr>
            </w:pPr>
            <w:r w:rsidRPr="002617CF">
              <w:rPr>
                <w:rFonts w:asciiTheme="minorHAnsi" w:hAnsiTheme="minorHAnsi"/>
              </w:rPr>
              <w:t>21.2%</w:t>
            </w:r>
          </w:p>
        </w:tc>
        <w:tc>
          <w:tcPr>
            <w:tcW w:w="851" w:type="dxa"/>
          </w:tcPr>
          <w:p w14:paraId="229225E0" w14:textId="77777777" w:rsidR="00E25D4D" w:rsidRPr="002617CF" w:rsidRDefault="00E25D4D" w:rsidP="008D1B9C">
            <w:pPr>
              <w:rPr>
                <w:rFonts w:asciiTheme="minorHAnsi" w:hAnsiTheme="minorHAnsi"/>
              </w:rPr>
            </w:pPr>
            <w:r w:rsidRPr="002617CF">
              <w:rPr>
                <w:rFonts w:asciiTheme="minorHAnsi" w:hAnsiTheme="minorHAnsi"/>
              </w:rPr>
              <w:t>21.9%</w:t>
            </w:r>
          </w:p>
        </w:tc>
        <w:tc>
          <w:tcPr>
            <w:tcW w:w="1134" w:type="dxa"/>
            <w:shd w:val="clear" w:color="auto" w:fill="F2F2F2" w:themeFill="background1" w:themeFillShade="F2"/>
          </w:tcPr>
          <w:p w14:paraId="5BC3CFD9" w14:textId="77777777" w:rsidR="00E25D4D" w:rsidRPr="002617CF" w:rsidRDefault="00E25D4D" w:rsidP="008D1B9C">
            <w:pPr>
              <w:rPr>
                <w:rFonts w:asciiTheme="minorHAnsi" w:hAnsiTheme="minorHAnsi"/>
                <w:i/>
              </w:rPr>
            </w:pPr>
            <w:r w:rsidRPr="002617CF">
              <w:rPr>
                <w:rFonts w:asciiTheme="minorHAnsi" w:hAnsiTheme="minorHAnsi"/>
                <w:i/>
              </w:rPr>
              <w:t>23% (e)</w:t>
            </w:r>
          </w:p>
        </w:tc>
        <w:tc>
          <w:tcPr>
            <w:tcW w:w="992" w:type="dxa"/>
            <w:shd w:val="clear" w:color="auto" w:fill="F2F2F2" w:themeFill="background1" w:themeFillShade="F2"/>
          </w:tcPr>
          <w:p w14:paraId="0209B0FF" w14:textId="77777777" w:rsidR="00E25D4D" w:rsidRPr="002617CF" w:rsidRDefault="00E25D4D" w:rsidP="008D1B9C">
            <w:pPr>
              <w:rPr>
                <w:rFonts w:asciiTheme="minorHAnsi" w:hAnsiTheme="minorHAnsi"/>
                <w:i/>
              </w:rPr>
            </w:pPr>
            <w:r w:rsidRPr="002617CF">
              <w:rPr>
                <w:rFonts w:asciiTheme="minorHAnsi" w:hAnsiTheme="minorHAnsi"/>
                <w:i/>
              </w:rPr>
              <w:t>N/A</w:t>
            </w:r>
          </w:p>
        </w:tc>
        <w:tc>
          <w:tcPr>
            <w:tcW w:w="1134" w:type="dxa"/>
            <w:shd w:val="clear" w:color="auto" w:fill="F2F2F2" w:themeFill="background1" w:themeFillShade="F2"/>
          </w:tcPr>
          <w:p w14:paraId="48D7CF19" w14:textId="77777777" w:rsidR="00E25D4D" w:rsidRPr="002617CF" w:rsidRDefault="00E25D4D" w:rsidP="008D1B9C">
            <w:pPr>
              <w:rPr>
                <w:rFonts w:asciiTheme="minorHAnsi" w:hAnsiTheme="minorHAnsi"/>
                <w:i/>
              </w:rPr>
            </w:pPr>
            <w:r w:rsidRPr="002617CF">
              <w:rPr>
                <w:rFonts w:asciiTheme="minorHAnsi" w:hAnsiTheme="minorHAnsi"/>
                <w:i/>
              </w:rPr>
              <w:t>N/A</w:t>
            </w:r>
          </w:p>
        </w:tc>
      </w:tr>
    </w:tbl>
    <w:p w14:paraId="5D8A7FB8" w14:textId="77777777" w:rsidR="00E25D4D" w:rsidRPr="002617CF" w:rsidRDefault="00E25D4D" w:rsidP="00E25D4D">
      <w:pPr>
        <w:spacing w:before="60"/>
        <w:rPr>
          <w:rFonts w:asciiTheme="minorHAnsi" w:hAnsiTheme="minorHAnsi"/>
          <w:i/>
          <w:sz w:val="18"/>
        </w:rPr>
      </w:pPr>
      <w:r w:rsidRPr="002617CF">
        <w:rPr>
          <w:rFonts w:asciiTheme="minorHAnsi" w:hAnsiTheme="minorHAnsi"/>
          <w:i/>
          <w:sz w:val="18"/>
        </w:rPr>
        <w:t>e = estimated performance (internal data)</w:t>
      </w:r>
    </w:p>
    <w:p w14:paraId="255290A9" w14:textId="77777777" w:rsidR="00E25D4D" w:rsidRPr="002617CF" w:rsidRDefault="00E25D4D" w:rsidP="00E25D4D">
      <w:pPr>
        <w:spacing w:before="60"/>
        <w:rPr>
          <w:rFonts w:asciiTheme="minorHAnsi" w:hAnsiTheme="minorHAnsi"/>
        </w:rPr>
      </w:pPr>
    </w:p>
    <w:p w14:paraId="6B845C90" w14:textId="77777777" w:rsidR="00E25D4D" w:rsidRPr="002617CF" w:rsidRDefault="00E25D4D" w:rsidP="00E25D4D">
      <w:pPr>
        <w:rPr>
          <w:rStyle w:val="Strong"/>
          <w:rFonts w:asciiTheme="minorHAnsi" w:hAnsiTheme="minorHAnsi" w:cs="Arial"/>
          <w:i/>
          <w:color w:val="000000"/>
          <w:szCs w:val="19"/>
          <w:bdr w:val="none" w:sz="0" w:space="0" w:color="auto" w:frame="1"/>
          <w:shd w:val="clear" w:color="auto" w:fill="FFFFFF"/>
        </w:rPr>
      </w:pPr>
      <w:r w:rsidRPr="002617CF">
        <w:rPr>
          <w:rStyle w:val="Strong"/>
          <w:rFonts w:asciiTheme="minorHAnsi" w:hAnsiTheme="minorHAnsi" w:cs="Arial"/>
          <w:b w:val="0"/>
          <w:i/>
          <w:color w:val="000000"/>
          <w:szCs w:val="19"/>
          <w:bdr w:val="none" w:sz="0" w:space="0" w:color="auto" w:frame="1"/>
          <w:shd w:val="clear" w:color="auto" w:fill="FFFFFF"/>
        </w:rPr>
        <w:t xml:space="preserve">Table </w:t>
      </w:r>
      <w:proofErr w:type="gramStart"/>
      <w:r w:rsidRPr="002617CF">
        <w:rPr>
          <w:rStyle w:val="Strong"/>
          <w:rFonts w:asciiTheme="minorHAnsi" w:hAnsiTheme="minorHAnsi" w:cs="Arial"/>
          <w:b w:val="0"/>
          <w:i/>
          <w:color w:val="000000"/>
          <w:szCs w:val="19"/>
          <w:bdr w:val="none" w:sz="0" w:space="0" w:color="auto" w:frame="1"/>
          <w:shd w:val="clear" w:color="auto" w:fill="FFFFFF"/>
        </w:rPr>
        <w:t>3</w:t>
      </w:r>
      <w:proofErr w:type="gramEnd"/>
      <w:r w:rsidRPr="002617CF">
        <w:rPr>
          <w:rStyle w:val="Strong"/>
          <w:rFonts w:asciiTheme="minorHAnsi" w:hAnsiTheme="minorHAnsi" w:cs="Arial"/>
          <w:b w:val="0"/>
          <w:i/>
          <w:color w:val="000000"/>
          <w:szCs w:val="19"/>
          <w:bdr w:val="none" w:sz="0" w:space="0" w:color="auto" w:frame="1"/>
          <w:shd w:val="clear" w:color="auto" w:fill="FFFFFF"/>
        </w:rPr>
        <w:t xml:space="preserve"> Young full-time </w:t>
      </w:r>
      <w:r w:rsidRPr="002617CF">
        <w:rPr>
          <w:rStyle w:val="Strong"/>
          <w:rFonts w:asciiTheme="minorHAnsi" w:hAnsiTheme="minorHAnsi" w:cs="Arial"/>
          <w:b w:val="0"/>
          <w:i/>
          <w:szCs w:val="19"/>
          <w:bdr w:val="none" w:sz="0" w:space="0" w:color="auto" w:frame="1"/>
          <w:shd w:val="clear" w:color="auto" w:fill="FFFFFF"/>
        </w:rPr>
        <w:t xml:space="preserve">first degree entrants </w:t>
      </w:r>
      <w:r w:rsidRPr="002617CF">
        <w:rPr>
          <w:rStyle w:val="Strong"/>
          <w:rFonts w:asciiTheme="minorHAnsi" w:hAnsiTheme="minorHAnsi" w:cs="Arial"/>
          <w:b w:val="0"/>
          <w:i/>
          <w:color w:val="000000"/>
          <w:szCs w:val="19"/>
          <w:bdr w:val="none" w:sz="0" w:space="0" w:color="auto" w:frame="1"/>
          <w:shd w:val="clear" w:color="auto" w:fill="FFFFFF"/>
        </w:rPr>
        <w:t>from low participation neighbourhood</w:t>
      </w:r>
      <w:r w:rsidRPr="002617CF">
        <w:rPr>
          <w:rStyle w:val="Strong"/>
          <w:rFonts w:asciiTheme="minorHAnsi" w:hAnsiTheme="minorHAnsi" w:cs="Arial"/>
          <w:i/>
          <w:color w:val="000000"/>
          <w:szCs w:val="19"/>
          <w:bdr w:val="none" w:sz="0" w:space="0" w:color="auto" w:frame="1"/>
          <w:shd w:val="clear" w:color="auto" w:fill="FFFFFF"/>
        </w:rPr>
        <w:t>s.</w:t>
      </w:r>
    </w:p>
    <w:p w14:paraId="4FDFF0DB" w14:textId="77777777" w:rsidR="002E6CF9" w:rsidRPr="002617CF" w:rsidRDefault="002E6CF9" w:rsidP="00E25D4D">
      <w:pPr>
        <w:rPr>
          <w:rStyle w:val="Strong"/>
          <w:rFonts w:asciiTheme="minorHAnsi" w:hAnsiTheme="minorHAnsi" w:cs="Arial"/>
          <w:b w:val="0"/>
          <w:i/>
          <w:color w:val="000000"/>
          <w:szCs w:val="19"/>
          <w:bdr w:val="none" w:sz="0" w:space="0" w:color="auto" w:frame="1"/>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338"/>
        <w:gridCol w:w="1339"/>
        <w:gridCol w:w="1339"/>
      </w:tblGrid>
      <w:tr w:rsidR="00E25D4D" w:rsidRPr="002617CF" w14:paraId="1F9A6E80" w14:textId="77777777" w:rsidTr="008D1B9C">
        <w:trPr>
          <w:trHeight w:val="300"/>
        </w:trPr>
        <w:tc>
          <w:tcPr>
            <w:tcW w:w="1129" w:type="dxa"/>
            <w:vAlign w:val="center"/>
          </w:tcPr>
          <w:p w14:paraId="5D27D4CD" w14:textId="77777777" w:rsidR="00E25D4D" w:rsidRPr="002617CF" w:rsidRDefault="00E25D4D" w:rsidP="008D1B9C">
            <w:pPr>
              <w:jc w:val="right"/>
              <w:rPr>
                <w:rFonts w:asciiTheme="minorHAnsi" w:hAnsiTheme="minorHAnsi" w:cs="Arial"/>
                <w:color w:val="000000"/>
              </w:rPr>
            </w:pPr>
          </w:p>
        </w:tc>
        <w:tc>
          <w:tcPr>
            <w:tcW w:w="1338" w:type="dxa"/>
            <w:shd w:val="clear" w:color="auto" w:fill="auto"/>
            <w:vAlign w:val="center"/>
            <w:hideMark/>
          </w:tcPr>
          <w:p w14:paraId="5C1BB51B"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CU (%)</w:t>
            </w:r>
          </w:p>
        </w:tc>
        <w:tc>
          <w:tcPr>
            <w:tcW w:w="1339" w:type="dxa"/>
            <w:shd w:val="clear" w:color="auto" w:fill="auto"/>
            <w:vAlign w:val="center"/>
            <w:hideMark/>
          </w:tcPr>
          <w:p w14:paraId="2DFFB795"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Sector benchmark (%)</w:t>
            </w:r>
            <w:r w:rsidRPr="002617CF">
              <w:rPr>
                <w:rStyle w:val="FootnoteReference"/>
                <w:rFonts w:asciiTheme="minorHAnsi" w:hAnsiTheme="minorHAnsi" w:cs="Arial"/>
                <w:color w:val="000000"/>
              </w:rPr>
              <w:footnoteReference w:id="6"/>
            </w:r>
            <w:r w:rsidRPr="002617CF">
              <w:rPr>
                <w:rFonts w:asciiTheme="minorHAnsi" w:hAnsiTheme="minorHAnsi" w:cs="Arial"/>
                <w:color w:val="000000"/>
              </w:rPr>
              <w:t xml:space="preserve"> </w:t>
            </w:r>
          </w:p>
        </w:tc>
        <w:tc>
          <w:tcPr>
            <w:tcW w:w="1339" w:type="dxa"/>
            <w:shd w:val="clear" w:color="auto" w:fill="auto"/>
            <w:vAlign w:val="center"/>
            <w:hideMark/>
          </w:tcPr>
          <w:p w14:paraId="4632A2C0"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Variance</w:t>
            </w:r>
          </w:p>
        </w:tc>
      </w:tr>
      <w:tr w:rsidR="00E25D4D" w:rsidRPr="002617CF" w14:paraId="349F33F1" w14:textId="77777777" w:rsidTr="008D1B9C">
        <w:trPr>
          <w:trHeight w:val="300"/>
        </w:trPr>
        <w:tc>
          <w:tcPr>
            <w:tcW w:w="1129" w:type="dxa"/>
            <w:vAlign w:val="center"/>
          </w:tcPr>
          <w:p w14:paraId="028DFAAC"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2009/10</w:t>
            </w:r>
          </w:p>
        </w:tc>
        <w:tc>
          <w:tcPr>
            <w:tcW w:w="1338" w:type="dxa"/>
            <w:shd w:val="clear" w:color="auto" w:fill="auto"/>
            <w:vAlign w:val="center"/>
          </w:tcPr>
          <w:p w14:paraId="1BD6479E"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7.4</w:t>
            </w:r>
          </w:p>
        </w:tc>
        <w:tc>
          <w:tcPr>
            <w:tcW w:w="1339" w:type="dxa"/>
            <w:shd w:val="clear" w:color="auto" w:fill="auto"/>
            <w:vAlign w:val="center"/>
          </w:tcPr>
          <w:p w14:paraId="0686358C"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6.9</w:t>
            </w:r>
          </w:p>
        </w:tc>
        <w:tc>
          <w:tcPr>
            <w:tcW w:w="1339" w:type="dxa"/>
            <w:shd w:val="clear" w:color="auto" w:fill="auto"/>
            <w:vAlign w:val="bottom"/>
          </w:tcPr>
          <w:p w14:paraId="65C0E85D"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olor w:val="000000"/>
              </w:rPr>
              <w:t>0.5</w:t>
            </w:r>
          </w:p>
        </w:tc>
      </w:tr>
      <w:tr w:rsidR="00E25D4D" w:rsidRPr="002617CF" w14:paraId="07447949" w14:textId="77777777" w:rsidTr="008D1B9C">
        <w:trPr>
          <w:trHeight w:val="300"/>
        </w:trPr>
        <w:tc>
          <w:tcPr>
            <w:tcW w:w="1129" w:type="dxa"/>
            <w:vAlign w:val="center"/>
          </w:tcPr>
          <w:p w14:paraId="5A987D90"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2010/11</w:t>
            </w:r>
          </w:p>
        </w:tc>
        <w:tc>
          <w:tcPr>
            <w:tcW w:w="1338" w:type="dxa"/>
            <w:shd w:val="clear" w:color="auto" w:fill="auto"/>
            <w:vAlign w:val="center"/>
          </w:tcPr>
          <w:p w14:paraId="2715F56D"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7.5</w:t>
            </w:r>
          </w:p>
        </w:tc>
        <w:tc>
          <w:tcPr>
            <w:tcW w:w="1339" w:type="dxa"/>
            <w:shd w:val="clear" w:color="auto" w:fill="auto"/>
            <w:vAlign w:val="center"/>
          </w:tcPr>
          <w:p w14:paraId="10751098"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7.2</w:t>
            </w:r>
          </w:p>
        </w:tc>
        <w:tc>
          <w:tcPr>
            <w:tcW w:w="1339" w:type="dxa"/>
            <w:shd w:val="clear" w:color="auto" w:fill="auto"/>
            <w:vAlign w:val="bottom"/>
          </w:tcPr>
          <w:p w14:paraId="760A6152"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olor w:val="000000"/>
              </w:rPr>
              <w:t>0.3</w:t>
            </w:r>
          </w:p>
        </w:tc>
      </w:tr>
      <w:tr w:rsidR="00E25D4D" w:rsidRPr="002617CF" w14:paraId="687C8225" w14:textId="77777777" w:rsidTr="008D1B9C">
        <w:trPr>
          <w:trHeight w:val="300"/>
        </w:trPr>
        <w:tc>
          <w:tcPr>
            <w:tcW w:w="1129" w:type="dxa"/>
            <w:vAlign w:val="center"/>
          </w:tcPr>
          <w:p w14:paraId="68ED879C"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2011/12</w:t>
            </w:r>
          </w:p>
        </w:tc>
        <w:tc>
          <w:tcPr>
            <w:tcW w:w="1338" w:type="dxa"/>
            <w:shd w:val="clear" w:color="auto" w:fill="auto"/>
            <w:vAlign w:val="center"/>
          </w:tcPr>
          <w:p w14:paraId="7B785E4F"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6.5</w:t>
            </w:r>
          </w:p>
        </w:tc>
        <w:tc>
          <w:tcPr>
            <w:tcW w:w="1339" w:type="dxa"/>
            <w:shd w:val="clear" w:color="auto" w:fill="auto"/>
            <w:vAlign w:val="center"/>
          </w:tcPr>
          <w:p w14:paraId="53C6F974"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7.4</w:t>
            </w:r>
          </w:p>
        </w:tc>
        <w:tc>
          <w:tcPr>
            <w:tcW w:w="1339" w:type="dxa"/>
            <w:shd w:val="clear" w:color="auto" w:fill="auto"/>
            <w:vAlign w:val="bottom"/>
          </w:tcPr>
          <w:p w14:paraId="135CC19E"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olor w:val="000000"/>
              </w:rPr>
              <w:t>- 0.9</w:t>
            </w:r>
          </w:p>
        </w:tc>
      </w:tr>
      <w:tr w:rsidR="00E25D4D" w:rsidRPr="002617CF" w14:paraId="1211E30D" w14:textId="77777777" w:rsidTr="008D1B9C">
        <w:trPr>
          <w:trHeight w:val="300"/>
        </w:trPr>
        <w:tc>
          <w:tcPr>
            <w:tcW w:w="1129" w:type="dxa"/>
            <w:vAlign w:val="center"/>
          </w:tcPr>
          <w:p w14:paraId="0B99A4AE"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2012/13</w:t>
            </w:r>
          </w:p>
        </w:tc>
        <w:tc>
          <w:tcPr>
            <w:tcW w:w="1338" w:type="dxa"/>
            <w:shd w:val="clear" w:color="auto" w:fill="auto"/>
            <w:vAlign w:val="center"/>
          </w:tcPr>
          <w:p w14:paraId="204F5585"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7.9</w:t>
            </w:r>
          </w:p>
        </w:tc>
        <w:tc>
          <w:tcPr>
            <w:tcW w:w="1339" w:type="dxa"/>
            <w:shd w:val="clear" w:color="auto" w:fill="auto"/>
            <w:vAlign w:val="center"/>
          </w:tcPr>
          <w:p w14:paraId="1E908C89"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8.3</w:t>
            </w:r>
          </w:p>
        </w:tc>
        <w:tc>
          <w:tcPr>
            <w:tcW w:w="1339" w:type="dxa"/>
            <w:shd w:val="clear" w:color="auto" w:fill="auto"/>
            <w:vAlign w:val="bottom"/>
          </w:tcPr>
          <w:p w14:paraId="2A6C269B"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olor w:val="000000"/>
              </w:rPr>
              <w:t>- 0.4</w:t>
            </w:r>
          </w:p>
        </w:tc>
      </w:tr>
      <w:tr w:rsidR="00E25D4D" w:rsidRPr="002617CF" w14:paraId="7A9D5D22" w14:textId="77777777" w:rsidTr="008D1B9C">
        <w:trPr>
          <w:trHeight w:val="300"/>
        </w:trPr>
        <w:tc>
          <w:tcPr>
            <w:tcW w:w="1129" w:type="dxa"/>
            <w:vAlign w:val="center"/>
          </w:tcPr>
          <w:p w14:paraId="53401BEC"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2013/14</w:t>
            </w:r>
          </w:p>
        </w:tc>
        <w:tc>
          <w:tcPr>
            <w:tcW w:w="1338" w:type="dxa"/>
            <w:shd w:val="clear" w:color="auto" w:fill="auto"/>
            <w:vAlign w:val="center"/>
          </w:tcPr>
          <w:p w14:paraId="5D7C2165"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7.6</w:t>
            </w:r>
          </w:p>
        </w:tc>
        <w:tc>
          <w:tcPr>
            <w:tcW w:w="1339" w:type="dxa"/>
            <w:shd w:val="clear" w:color="auto" w:fill="auto"/>
            <w:vAlign w:val="center"/>
          </w:tcPr>
          <w:p w14:paraId="7E1A18C6"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8.4</w:t>
            </w:r>
          </w:p>
        </w:tc>
        <w:tc>
          <w:tcPr>
            <w:tcW w:w="1339" w:type="dxa"/>
            <w:shd w:val="clear" w:color="auto" w:fill="auto"/>
            <w:vAlign w:val="bottom"/>
          </w:tcPr>
          <w:p w14:paraId="4A355226"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olor w:val="000000"/>
              </w:rPr>
              <w:t>- 0.8</w:t>
            </w:r>
          </w:p>
        </w:tc>
      </w:tr>
      <w:tr w:rsidR="00E25D4D" w:rsidRPr="002617CF" w14:paraId="590F85F9" w14:textId="77777777" w:rsidTr="008D1B9C">
        <w:trPr>
          <w:trHeight w:val="300"/>
        </w:trPr>
        <w:tc>
          <w:tcPr>
            <w:tcW w:w="1129" w:type="dxa"/>
            <w:shd w:val="clear" w:color="auto" w:fill="auto"/>
            <w:vAlign w:val="center"/>
          </w:tcPr>
          <w:p w14:paraId="020ADFAF" w14:textId="77777777" w:rsidR="00E25D4D" w:rsidRPr="002617CF" w:rsidRDefault="00E25D4D" w:rsidP="008D1B9C">
            <w:pPr>
              <w:jc w:val="right"/>
              <w:rPr>
                <w:rFonts w:asciiTheme="minorHAnsi" w:hAnsiTheme="minorHAnsi" w:cs="Arial"/>
                <w:b/>
                <w:bCs/>
                <w:color w:val="000000"/>
              </w:rPr>
            </w:pPr>
            <w:r w:rsidRPr="002617CF">
              <w:rPr>
                <w:rFonts w:asciiTheme="minorHAnsi" w:hAnsiTheme="minorHAnsi" w:cs="Arial"/>
                <w:b/>
                <w:bCs/>
                <w:color w:val="000000"/>
              </w:rPr>
              <w:t>2014/15</w:t>
            </w:r>
          </w:p>
        </w:tc>
        <w:tc>
          <w:tcPr>
            <w:tcW w:w="1338" w:type="dxa"/>
            <w:shd w:val="clear" w:color="auto" w:fill="auto"/>
            <w:vAlign w:val="center"/>
          </w:tcPr>
          <w:p w14:paraId="7633F9A3" w14:textId="77777777" w:rsidR="00E25D4D" w:rsidRPr="002617CF" w:rsidRDefault="00E25D4D" w:rsidP="008D1B9C">
            <w:pPr>
              <w:jc w:val="right"/>
              <w:rPr>
                <w:rFonts w:asciiTheme="minorHAnsi" w:hAnsiTheme="minorHAnsi" w:cs="Arial"/>
                <w:b/>
                <w:bCs/>
                <w:color w:val="000000"/>
              </w:rPr>
            </w:pPr>
            <w:r w:rsidRPr="002617CF">
              <w:rPr>
                <w:rFonts w:asciiTheme="minorHAnsi" w:hAnsiTheme="minorHAnsi" w:cs="Arial"/>
                <w:b/>
                <w:bCs/>
                <w:color w:val="000000"/>
              </w:rPr>
              <w:t>9.6</w:t>
            </w:r>
          </w:p>
        </w:tc>
        <w:tc>
          <w:tcPr>
            <w:tcW w:w="1339" w:type="dxa"/>
            <w:shd w:val="clear" w:color="auto" w:fill="auto"/>
            <w:vAlign w:val="center"/>
          </w:tcPr>
          <w:p w14:paraId="42FCE3D8" w14:textId="77777777" w:rsidR="00E25D4D" w:rsidRPr="002617CF" w:rsidRDefault="00E25D4D" w:rsidP="008D1B9C">
            <w:pPr>
              <w:jc w:val="right"/>
              <w:rPr>
                <w:rFonts w:asciiTheme="minorHAnsi" w:hAnsiTheme="minorHAnsi" w:cs="Arial"/>
                <w:b/>
                <w:bCs/>
                <w:color w:val="000000"/>
              </w:rPr>
            </w:pPr>
            <w:r w:rsidRPr="002617CF">
              <w:rPr>
                <w:rFonts w:asciiTheme="minorHAnsi" w:hAnsiTheme="minorHAnsi" w:cs="Arial"/>
                <w:b/>
                <w:bCs/>
                <w:color w:val="000000"/>
              </w:rPr>
              <w:t>8.7</w:t>
            </w:r>
          </w:p>
        </w:tc>
        <w:tc>
          <w:tcPr>
            <w:tcW w:w="1339" w:type="dxa"/>
            <w:shd w:val="clear" w:color="auto" w:fill="auto"/>
            <w:vAlign w:val="bottom"/>
          </w:tcPr>
          <w:p w14:paraId="7ABDA929" w14:textId="77777777" w:rsidR="00E25D4D" w:rsidRPr="002617CF" w:rsidRDefault="00E25D4D" w:rsidP="008D1B9C">
            <w:pPr>
              <w:jc w:val="right"/>
              <w:rPr>
                <w:rFonts w:asciiTheme="minorHAnsi" w:hAnsiTheme="minorHAnsi" w:cs="Arial"/>
                <w:b/>
                <w:bCs/>
                <w:color w:val="000000"/>
              </w:rPr>
            </w:pPr>
            <w:r w:rsidRPr="002617CF">
              <w:rPr>
                <w:rFonts w:asciiTheme="minorHAnsi" w:hAnsiTheme="minorHAnsi"/>
                <w:b/>
                <w:color w:val="000000"/>
              </w:rPr>
              <w:t>0.9</w:t>
            </w:r>
          </w:p>
        </w:tc>
      </w:tr>
    </w:tbl>
    <w:p w14:paraId="439399DE" w14:textId="77777777" w:rsidR="00E25D4D" w:rsidRPr="002617CF" w:rsidRDefault="00E25D4D" w:rsidP="00E25D4D">
      <w:pPr>
        <w:rPr>
          <w:rFonts w:asciiTheme="minorHAnsi" w:hAnsiTheme="minorHAnsi"/>
          <w:bCs/>
          <w:i/>
          <w:iCs/>
          <w:sz w:val="18"/>
        </w:rPr>
      </w:pPr>
      <w:r w:rsidRPr="002617CF">
        <w:rPr>
          <w:rFonts w:asciiTheme="minorHAnsi" w:hAnsiTheme="minorHAnsi"/>
          <w:bCs/>
          <w:i/>
          <w:iCs/>
          <w:sz w:val="18"/>
        </w:rPr>
        <w:t>HESA WP PI Table T1a</w:t>
      </w:r>
    </w:p>
    <w:p w14:paraId="1082AF85" w14:textId="77777777" w:rsidR="00E25D4D" w:rsidRPr="002617CF" w:rsidRDefault="00E25D4D" w:rsidP="00E25D4D">
      <w:pPr>
        <w:rPr>
          <w:rStyle w:val="Strong"/>
          <w:rFonts w:asciiTheme="minorHAnsi" w:hAnsiTheme="minorHAnsi" w:cs="Arial"/>
          <w:b w:val="0"/>
          <w:color w:val="000000"/>
          <w:szCs w:val="19"/>
          <w:bdr w:val="none" w:sz="0" w:space="0" w:color="auto" w:frame="1"/>
          <w:shd w:val="clear" w:color="auto" w:fill="FFFFFF"/>
        </w:rPr>
      </w:pPr>
      <w:r w:rsidRPr="002617CF">
        <w:rPr>
          <w:rFonts w:asciiTheme="minorHAnsi" w:hAnsiTheme="minorHAnsi" w:cs="Arial"/>
          <w:i/>
          <w:iCs/>
          <w:color w:val="000000"/>
          <w:sz w:val="18"/>
          <w:szCs w:val="18"/>
        </w:rPr>
        <w:t xml:space="preserve">POLAR </w:t>
      </w:r>
      <w:proofErr w:type="gramStart"/>
      <w:r w:rsidRPr="002617CF">
        <w:rPr>
          <w:rFonts w:asciiTheme="minorHAnsi" w:hAnsiTheme="minorHAnsi" w:cs="Arial"/>
          <w:i/>
          <w:iCs/>
          <w:color w:val="000000"/>
          <w:sz w:val="18"/>
          <w:szCs w:val="18"/>
        </w:rPr>
        <w:t>3</w:t>
      </w:r>
      <w:proofErr w:type="gramEnd"/>
      <w:r w:rsidRPr="002617CF">
        <w:rPr>
          <w:rFonts w:asciiTheme="minorHAnsi" w:hAnsiTheme="minorHAnsi" w:cs="Arial"/>
          <w:i/>
          <w:iCs/>
          <w:color w:val="000000"/>
          <w:sz w:val="18"/>
          <w:szCs w:val="18"/>
        </w:rPr>
        <w:t xml:space="preserve"> data</w:t>
      </w:r>
    </w:p>
    <w:p w14:paraId="00943AF1" w14:textId="77777777" w:rsidR="00E25D4D" w:rsidRPr="002617CF" w:rsidRDefault="00E25D4D" w:rsidP="00E25D4D">
      <w:pPr>
        <w:rPr>
          <w:rFonts w:asciiTheme="minorHAnsi" w:hAnsiTheme="minorHAnsi" w:cs="Arial"/>
          <w:i/>
          <w:iCs/>
          <w:color w:val="000000"/>
          <w:sz w:val="18"/>
          <w:szCs w:val="18"/>
        </w:rPr>
      </w:pPr>
      <w:r w:rsidRPr="002617CF">
        <w:rPr>
          <w:rFonts w:asciiTheme="minorHAnsi" w:hAnsiTheme="minorHAnsi" w:cs="Arial"/>
          <w:i/>
          <w:iCs/>
          <w:color w:val="000000"/>
          <w:sz w:val="18"/>
          <w:szCs w:val="18"/>
        </w:rPr>
        <w:t xml:space="preserve">Variance is </w:t>
      </w:r>
      <w:r w:rsidRPr="002617CF">
        <w:rPr>
          <w:rFonts w:asciiTheme="minorHAnsi" w:hAnsiTheme="minorHAnsi" w:cs="Arial"/>
          <w:i/>
          <w:iCs/>
          <w:color w:val="000000"/>
          <w:sz w:val="18"/>
          <w:szCs w:val="18"/>
          <w:u w:val="single"/>
        </w:rPr>
        <w:t>not</w:t>
      </w:r>
      <w:r w:rsidRPr="002617CF">
        <w:rPr>
          <w:rFonts w:asciiTheme="minorHAnsi" w:hAnsiTheme="minorHAnsi" w:cs="Arial"/>
          <w:i/>
          <w:iCs/>
          <w:color w:val="000000"/>
          <w:sz w:val="18"/>
          <w:szCs w:val="18"/>
        </w:rPr>
        <w:t xml:space="preserve"> statistically significant</w:t>
      </w:r>
    </w:p>
    <w:p w14:paraId="51A5D6D0" w14:textId="77777777" w:rsidR="002E6CF9" w:rsidRPr="002617CF" w:rsidRDefault="002E6CF9" w:rsidP="00E25D4D">
      <w:pPr>
        <w:rPr>
          <w:rFonts w:asciiTheme="minorHAnsi" w:hAnsiTheme="minorHAnsi" w:cs="Arial"/>
          <w:i/>
          <w:iCs/>
          <w:color w:val="000000"/>
          <w:sz w:val="18"/>
          <w:szCs w:val="18"/>
        </w:rPr>
      </w:pPr>
    </w:p>
    <w:p w14:paraId="622ECA4B" w14:textId="77777777" w:rsidR="00E25D4D" w:rsidRPr="002617CF" w:rsidRDefault="00E25D4D" w:rsidP="00E25D4D">
      <w:pPr>
        <w:rPr>
          <w:rFonts w:asciiTheme="minorHAnsi" w:hAnsiTheme="minorHAnsi" w:cs="Arial"/>
          <w:i/>
          <w:iCs/>
          <w:color w:val="000000"/>
          <w:szCs w:val="18"/>
        </w:rPr>
      </w:pPr>
      <w:r w:rsidRPr="002617CF">
        <w:rPr>
          <w:rFonts w:asciiTheme="minorHAnsi" w:hAnsiTheme="minorHAnsi" w:cs="Arial"/>
          <w:i/>
          <w:iCs/>
          <w:color w:val="000000"/>
          <w:szCs w:val="18"/>
        </w:rPr>
        <w:t xml:space="preserve">Table </w:t>
      </w:r>
      <w:proofErr w:type="gramStart"/>
      <w:r w:rsidRPr="002617CF">
        <w:rPr>
          <w:rFonts w:asciiTheme="minorHAnsi" w:hAnsiTheme="minorHAnsi" w:cs="Arial"/>
          <w:i/>
          <w:iCs/>
          <w:color w:val="000000"/>
          <w:szCs w:val="18"/>
        </w:rPr>
        <w:t>4</w:t>
      </w:r>
      <w:proofErr w:type="gramEnd"/>
      <w:r w:rsidRPr="002617CF">
        <w:rPr>
          <w:rFonts w:asciiTheme="minorHAnsi" w:hAnsiTheme="minorHAnsi" w:cs="Arial"/>
          <w:i/>
          <w:iCs/>
          <w:color w:val="000000"/>
          <w:szCs w:val="18"/>
        </w:rPr>
        <w:t xml:space="preserve"> Mature full-time first degree entrants from low participation neighbourhoods &amp; with no previous HE qualification</w:t>
      </w:r>
    </w:p>
    <w:p w14:paraId="381397A8" w14:textId="77777777" w:rsidR="002E6CF9" w:rsidRPr="002617CF" w:rsidRDefault="002E6CF9" w:rsidP="00E25D4D">
      <w:pPr>
        <w:rPr>
          <w:rFonts w:asciiTheme="minorHAnsi" w:hAnsiTheme="minorHAnsi" w:cs="Arial"/>
          <w:i/>
          <w:iCs/>
          <w:color w:val="00000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338"/>
        <w:gridCol w:w="1339"/>
        <w:gridCol w:w="1339"/>
      </w:tblGrid>
      <w:tr w:rsidR="00E25D4D" w:rsidRPr="002617CF" w14:paraId="5A3DD833" w14:textId="77777777" w:rsidTr="008D1B9C">
        <w:trPr>
          <w:trHeight w:val="300"/>
        </w:trPr>
        <w:tc>
          <w:tcPr>
            <w:tcW w:w="1129" w:type="dxa"/>
            <w:vAlign w:val="center"/>
          </w:tcPr>
          <w:p w14:paraId="62ADDDE6" w14:textId="77777777" w:rsidR="00E25D4D" w:rsidRPr="002617CF" w:rsidRDefault="00E25D4D" w:rsidP="008D1B9C">
            <w:pPr>
              <w:jc w:val="right"/>
              <w:rPr>
                <w:rFonts w:asciiTheme="minorHAnsi" w:hAnsiTheme="minorHAnsi" w:cs="Arial"/>
                <w:color w:val="000000"/>
              </w:rPr>
            </w:pPr>
          </w:p>
        </w:tc>
        <w:tc>
          <w:tcPr>
            <w:tcW w:w="1338" w:type="dxa"/>
            <w:shd w:val="clear" w:color="auto" w:fill="auto"/>
            <w:vAlign w:val="center"/>
            <w:hideMark/>
          </w:tcPr>
          <w:p w14:paraId="4326A08A"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CU (%)</w:t>
            </w:r>
          </w:p>
        </w:tc>
        <w:tc>
          <w:tcPr>
            <w:tcW w:w="1339" w:type="dxa"/>
            <w:shd w:val="clear" w:color="auto" w:fill="auto"/>
            <w:vAlign w:val="center"/>
            <w:hideMark/>
          </w:tcPr>
          <w:p w14:paraId="3BE99BC2"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 xml:space="preserve">Sector benchmark (%) </w:t>
            </w:r>
          </w:p>
        </w:tc>
        <w:tc>
          <w:tcPr>
            <w:tcW w:w="1339" w:type="dxa"/>
            <w:shd w:val="clear" w:color="auto" w:fill="auto"/>
            <w:vAlign w:val="center"/>
            <w:hideMark/>
          </w:tcPr>
          <w:p w14:paraId="0C094236"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Variance</w:t>
            </w:r>
          </w:p>
        </w:tc>
      </w:tr>
      <w:tr w:rsidR="00E25D4D" w:rsidRPr="002617CF" w14:paraId="7175B15D" w14:textId="77777777" w:rsidTr="008D1B9C">
        <w:trPr>
          <w:trHeight w:val="300"/>
        </w:trPr>
        <w:tc>
          <w:tcPr>
            <w:tcW w:w="1129" w:type="dxa"/>
            <w:vAlign w:val="center"/>
          </w:tcPr>
          <w:p w14:paraId="119BFA6A"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2009/10</w:t>
            </w:r>
          </w:p>
        </w:tc>
        <w:tc>
          <w:tcPr>
            <w:tcW w:w="1338" w:type="dxa"/>
            <w:shd w:val="clear" w:color="auto" w:fill="auto"/>
            <w:vAlign w:val="center"/>
          </w:tcPr>
          <w:p w14:paraId="27E27ED7"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12.7</w:t>
            </w:r>
          </w:p>
        </w:tc>
        <w:tc>
          <w:tcPr>
            <w:tcW w:w="1339" w:type="dxa"/>
            <w:shd w:val="clear" w:color="auto" w:fill="auto"/>
            <w:vAlign w:val="center"/>
          </w:tcPr>
          <w:p w14:paraId="3728B8C6"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11.5</w:t>
            </w:r>
          </w:p>
        </w:tc>
        <w:tc>
          <w:tcPr>
            <w:tcW w:w="1339" w:type="dxa"/>
            <w:shd w:val="clear" w:color="auto" w:fill="auto"/>
            <w:vAlign w:val="bottom"/>
          </w:tcPr>
          <w:p w14:paraId="30456663"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+1.2</w:t>
            </w:r>
          </w:p>
        </w:tc>
      </w:tr>
      <w:tr w:rsidR="00E25D4D" w:rsidRPr="002617CF" w14:paraId="3C7A5210" w14:textId="77777777" w:rsidTr="008D1B9C">
        <w:trPr>
          <w:trHeight w:val="300"/>
        </w:trPr>
        <w:tc>
          <w:tcPr>
            <w:tcW w:w="1129" w:type="dxa"/>
            <w:vAlign w:val="center"/>
          </w:tcPr>
          <w:p w14:paraId="4B222EFA"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2010/11</w:t>
            </w:r>
          </w:p>
        </w:tc>
        <w:tc>
          <w:tcPr>
            <w:tcW w:w="1338" w:type="dxa"/>
            <w:shd w:val="clear" w:color="auto" w:fill="auto"/>
            <w:vAlign w:val="center"/>
          </w:tcPr>
          <w:p w14:paraId="7970FFC3"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10.9</w:t>
            </w:r>
          </w:p>
        </w:tc>
        <w:tc>
          <w:tcPr>
            <w:tcW w:w="1339" w:type="dxa"/>
            <w:shd w:val="clear" w:color="auto" w:fill="auto"/>
            <w:vAlign w:val="center"/>
          </w:tcPr>
          <w:p w14:paraId="7F10DEF6"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7.8</w:t>
            </w:r>
          </w:p>
        </w:tc>
        <w:tc>
          <w:tcPr>
            <w:tcW w:w="1339" w:type="dxa"/>
            <w:shd w:val="clear" w:color="auto" w:fill="auto"/>
            <w:vAlign w:val="bottom"/>
          </w:tcPr>
          <w:p w14:paraId="45467EC6"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+3.1</w:t>
            </w:r>
          </w:p>
        </w:tc>
      </w:tr>
      <w:tr w:rsidR="00E25D4D" w:rsidRPr="002617CF" w14:paraId="70ACBA86" w14:textId="77777777" w:rsidTr="008D1B9C">
        <w:trPr>
          <w:trHeight w:val="300"/>
        </w:trPr>
        <w:tc>
          <w:tcPr>
            <w:tcW w:w="1129" w:type="dxa"/>
            <w:vAlign w:val="center"/>
          </w:tcPr>
          <w:p w14:paraId="3BAB0B60"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2011/12</w:t>
            </w:r>
          </w:p>
        </w:tc>
        <w:tc>
          <w:tcPr>
            <w:tcW w:w="1338" w:type="dxa"/>
            <w:shd w:val="clear" w:color="auto" w:fill="auto"/>
            <w:vAlign w:val="center"/>
          </w:tcPr>
          <w:p w14:paraId="2BE03A5E"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11.7</w:t>
            </w:r>
          </w:p>
        </w:tc>
        <w:tc>
          <w:tcPr>
            <w:tcW w:w="1339" w:type="dxa"/>
            <w:shd w:val="clear" w:color="auto" w:fill="auto"/>
            <w:vAlign w:val="center"/>
          </w:tcPr>
          <w:p w14:paraId="542BEF7B"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9.1</w:t>
            </w:r>
          </w:p>
        </w:tc>
        <w:tc>
          <w:tcPr>
            <w:tcW w:w="1339" w:type="dxa"/>
            <w:shd w:val="clear" w:color="auto" w:fill="auto"/>
            <w:vAlign w:val="bottom"/>
          </w:tcPr>
          <w:p w14:paraId="348F1887"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+2.6</w:t>
            </w:r>
          </w:p>
        </w:tc>
      </w:tr>
      <w:tr w:rsidR="00E25D4D" w:rsidRPr="002617CF" w14:paraId="70D5E25A" w14:textId="77777777" w:rsidTr="008D1B9C">
        <w:trPr>
          <w:trHeight w:val="300"/>
        </w:trPr>
        <w:tc>
          <w:tcPr>
            <w:tcW w:w="1129" w:type="dxa"/>
            <w:vAlign w:val="center"/>
          </w:tcPr>
          <w:p w14:paraId="2D7C8B76"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2012/13</w:t>
            </w:r>
          </w:p>
        </w:tc>
        <w:tc>
          <w:tcPr>
            <w:tcW w:w="1338" w:type="dxa"/>
            <w:shd w:val="clear" w:color="auto" w:fill="auto"/>
            <w:vAlign w:val="center"/>
          </w:tcPr>
          <w:p w14:paraId="1DFEED2F"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11.4</w:t>
            </w:r>
          </w:p>
        </w:tc>
        <w:tc>
          <w:tcPr>
            <w:tcW w:w="1339" w:type="dxa"/>
            <w:shd w:val="clear" w:color="auto" w:fill="auto"/>
            <w:vAlign w:val="center"/>
          </w:tcPr>
          <w:p w14:paraId="57DDEA35"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11.4</w:t>
            </w:r>
          </w:p>
        </w:tc>
        <w:tc>
          <w:tcPr>
            <w:tcW w:w="1339" w:type="dxa"/>
            <w:shd w:val="clear" w:color="auto" w:fill="auto"/>
            <w:vAlign w:val="bottom"/>
          </w:tcPr>
          <w:p w14:paraId="776ECDB0"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0</w:t>
            </w:r>
          </w:p>
        </w:tc>
      </w:tr>
      <w:tr w:rsidR="00E25D4D" w:rsidRPr="002617CF" w14:paraId="72F49B3A" w14:textId="77777777" w:rsidTr="008D1B9C">
        <w:trPr>
          <w:trHeight w:val="300"/>
        </w:trPr>
        <w:tc>
          <w:tcPr>
            <w:tcW w:w="1129" w:type="dxa"/>
            <w:vAlign w:val="center"/>
          </w:tcPr>
          <w:p w14:paraId="58599BFE"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2013/14</w:t>
            </w:r>
          </w:p>
        </w:tc>
        <w:tc>
          <w:tcPr>
            <w:tcW w:w="1338" w:type="dxa"/>
            <w:shd w:val="clear" w:color="auto" w:fill="auto"/>
            <w:vAlign w:val="center"/>
          </w:tcPr>
          <w:p w14:paraId="00C23E83"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13.7</w:t>
            </w:r>
          </w:p>
        </w:tc>
        <w:tc>
          <w:tcPr>
            <w:tcW w:w="1339" w:type="dxa"/>
            <w:shd w:val="clear" w:color="auto" w:fill="auto"/>
            <w:vAlign w:val="center"/>
          </w:tcPr>
          <w:p w14:paraId="36E4D5E5"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12.5</w:t>
            </w:r>
          </w:p>
        </w:tc>
        <w:tc>
          <w:tcPr>
            <w:tcW w:w="1339" w:type="dxa"/>
            <w:shd w:val="clear" w:color="auto" w:fill="auto"/>
            <w:vAlign w:val="bottom"/>
          </w:tcPr>
          <w:p w14:paraId="03EE95C7" w14:textId="77777777" w:rsidR="00E25D4D" w:rsidRPr="002617CF" w:rsidRDefault="00E25D4D" w:rsidP="008D1B9C">
            <w:pPr>
              <w:jc w:val="right"/>
              <w:rPr>
                <w:rFonts w:asciiTheme="minorHAnsi" w:hAnsiTheme="minorHAnsi" w:cs="Arial"/>
                <w:color w:val="000000"/>
              </w:rPr>
            </w:pPr>
            <w:r w:rsidRPr="002617CF">
              <w:rPr>
                <w:rFonts w:asciiTheme="minorHAnsi" w:hAnsiTheme="minorHAnsi" w:cs="Arial"/>
                <w:color w:val="000000"/>
              </w:rPr>
              <w:t>+1.2</w:t>
            </w:r>
          </w:p>
        </w:tc>
      </w:tr>
      <w:tr w:rsidR="00E25D4D" w:rsidRPr="002617CF" w14:paraId="45B4C5DE" w14:textId="77777777" w:rsidTr="008D1B9C">
        <w:trPr>
          <w:trHeight w:val="300"/>
        </w:trPr>
        <w:tc>
          <w:tcPr>
            <w:tcW w:w="1129" w:type="dxa"/>
            <w:shd w:val="clear" w:color="auto" w:fill="auto"/>
            <w:vAlign w:val="center"/>
          </w:tcPr>
          <w:p w14:paraId="2CF3F928" w14:textId="77777777" w:rsidR="00E25D4D" w:rsidRPr="002617CF" w:rsidRDefault="00E25D4D" w:rsidP="008D1B9C">
            <w:pPr>
              <w:jc w:val="right"/>
              <w:rPr>
                <w:rFonts w:asciiTheme="minorHAnsi" w:hAnsiTheme="minorHAnsi" w:cs="Arial"/>
                <w:b/>
                <w:bCs/>
                <w:color w:val="000000"/>
              </w:rPr>
            </w:pPr>
            <w:r w:rsidRPr="002617CF">
              <w:rPr>
                <w:rFonts w:asciiTheme="minorHAnsi" w:hAnsiTheme="minorHAnsi" w:cs="Arial"/>
                <w:b/>
                <w:bCs/>
                <w:color w:val="000000"/>
              </w:rPr>
              <w:t>2014/15</w:t>
            </w:r>
          </w:p>
        </w:tc>
        <w:tc>
          <w:tcPr>
            <w:tcW w:w="1338" w:type="dxa"/>
            <w:shd w:val="clear" w:color="auto" w:fill="auto"/>
            <w:vAlign w:val="center"/>
          </w:tcPr>
          <w:p w14:paraId="26AA3B64" w14:textId="77777777" w:rsidR="00E25D4D" w:rsidRPr="002617CF" w:rsidRDefault="00E25D4D" w:rsidP="008D1B9C">
            <w:pPr>
              <w:jc w:val="right"/>
              <w:rPr>
                <w:rFonts w:asciiTheme="minorHAnsi" w:hAnsiTheme="minorHAnsi" w:cs="Arial"/>
                <w:b/>
                <w:bCs/>
                <w:color w:val="000000"/>
              </w:rPr>
            </w:pPr>
            <w:r w:rsidRPr="002617CF">
              <w:rPr>
                <w:rFonts w:asciiTheme="minorHAnsi" w:hAnsiTheme="minorHAnsi" w:cs="Arial"/>
                <w:b/>
                <w:bCs/>
                <w:color w:val="000000"/>
              </w:rPr>
              <w:t>16.5</w:t>
            </w:r>
          </w:p>
        </w:tc>
        <w:tc>
          <w:tcPr>
            <w:tcW w:w="1339" w:type="dxa"/>
            <w:shd w:val="clear" w:color="auto" w:fill="auto"/>
            <w:vAlign w:val="center"/>
          </w:tcPr>
          <w:p w14:paraId="6BB52638" w14:textId="77777777" w:rsidR="00E25D4D" w:rsidRPr="002617CF" w:rsidRDefault="00E25D4D" w:rsidP="008D1B9C">
            <w:pPr>
              <w:jc w:val="right"/>
              <w:rPr>
                <w:rFonts w:asciiTheme="minorHAnsi" w:hAnsiTheme="minorHAnsi" w:cs="Arial"/>
                <w:b/>
                <w:bCs/>
                <w:color w:val="000000"/>
              </w:rPr>
            </w:pPr>
            <w:r w:rsidRPr="002617CF">
              <w:rPr>
                <w:rFonts w:asciiTheme="minorHAnsi" w:hAnsiTheme="minorHAnsi" w:cs="Arial"/>
                <w:b/>
                <w:bCs/>
                <w:color w:val="000000"/>
              </w:rPr>
              <w:t>14.0</w:t>
            </w:r>
          </w:p>
        </w:tc>
        <w:tc>
          <w:tcPr>
            <w:tcW w:w="1339" w:type="dxa"/>
            <w:shd w:val="clear" w:color="auto" w:fill="auto"/>
            <w:vAlign w:val="bottom"/>
          </w:tcPr>
          <w:p w14:paraId="1F8829B5" w14:textId="77777777" w:rsidR="00E25D4D" w:rsidRPr="002617CF" w:rsidRDefault="00E25D4D" w:rsidP="008D1B9C">
            <w:pPr>
              <w:jc w:val="right"/>
              <w:rPr>
                <w:rFonts w:asciiTheme="minorHAnsi" w:hAnsiTheme="minorHAnsi" w:cs="Arial"/>
                <w:b/>
                <w:bCs/>
                <w:color w:val="000000"/>
              </w:rPr>
            </w:pPr>
            <w:r w:rsidRPr="002617CF">
              <w:rPr>
                <w:rFonts w:asciiTheme="minorHAnsi" w:hAnsiTheme="minorHAnsi" w:cs="Arial"/>
                <w:b/>
                <w:bCs/>
                <w:color w:val="000000"/>
              </w:rPr>
              <w:t>+2.5</w:t>
            </w:r>
          </w:p>
        </w:tc>
      </w:tr>
    </w:tbl>
    <w:p w14:paraId="4317A991" w14:textId="77777777" w:rsidR="00E25D4D" w:rsidRPr="002617CF" w:rsidRDefault="00E25D4D" w:rsidP="00E25D4D">
      <w:pPr>
        <w:rPr>
          <w:rFonts w:asciiTheme="minorHAnsi" w:hAnsiTheme="minorHAnsi"/>
          <w:bCs/>
          <w:i/>
          <w:iCs/>
          <w:sz w:val="18"/>
          <w:lang w:val="fr-FR"/>
        </w:rPr>
      </w:pPr>
      <w:r w:rsidRPr="002617CF">
        <w:rPr>
          <w:rFonts w:asciiTheme="minorHAnsi" w:hAnsiTheme="minorHAnsi"/>
          <w:bCs/>
          <w:i/>
          <w:iCs/>
          <w:sz w:val="18"/>
          <w:lang w:val="fr-FR"/>
        </w:rPr>
        <w:t>HESA WP PI Table T2a</w:t>
      </w:r>
    </w:p>
    <w:p w14:paraId="7DD10A4C" w14:textId="77777777" w:rsidR="00E25D4D" w:rsidRPr="002617CF" w:rsidRDefault="00E25D4D" w:rsidP="00E25D4D">
      <w:pPr>
        <w:rPr>
          <w:rFonts w:asciiTheme="minorHAnsi" w:hAnsiTheme="minorHAnsi"/>
          <w:bCs/>
          <w:i/>
          <w:iCs/>
          <w:sz w:val="18"/>
        </w:rPr>
      </w:pPr>
      <w:r w:rsidRPr="002617CF">
        <w:rPr>
          <w:rFonts w:asciiTheme="minorHAnsi" w:hAnsiTheme="minorHAnsi"/>
          <w:bCs/>
          <w:i/>
          <w:iCs/>
          <w:sz w:val="18"/>
        </w:rPr>
        <w:t xml:space="preserve">POLAR </w:t>
      </w:r>
      <w:proofErr w:type="gramStart"/>
      <w:r w:rsidRPr="002617CF">
        <w:rPr>
          <w:rFonts w:asciiTheme="minorHAnsi" w:hAnsiTheme="minorHAnsi"/>
          <w:bCs/>
          <w:i/>
          <w:iCs/>
          <w:sz w:val="18"/>
        </w:rPr>
        <w:t>3</w:t>
      </w:r>
      <w:proofErr w:type="gramEnd"/>
      <w:r w:rsidRPr="002617CF">
        <w:rPr>
          <w:rFonts w:asciiTheme="minorHAnsi" w:hAnsiTheme="minorHAnsi"/>
          <w:bCs/>
          <w:i/>
          <w:iCs/>
          <w:sz w:val="18"/>
        </w:rPr>
        <w:t xml:space="preserve"> data</w:t>
      </w:r>
    </w:p>
    <w:p w14:paraId="5784F1A8" w14:textId="77777777" w:rsidR="00E25D4D" w:rsidRPr="002617CF" w:rsidRDefault="00E25D4D" w:rsidP="00E25D4D">
      <w:pPr>
        <w:rPr>
          <w:rFonts w:asciiTheme="minorHAnsi" w:hAnsiTheme="minorHAnsi" w:cs="Arial"/>
          <w:i/>
          <w:iCs/>
          <w:color w:val="000000"/>
          <w:sz w:val="18"/>
          <w:szCs w:val="18"/>
        </w:rPr>
      </w:pPr>
      <w:r w:rsidRPr="002617CF">
        <w:rPr>
          <w:rFonts w:asciiTheme="minorHAnsi" w:hAnsiTheme="minorHAnsi" w:cs="Arial"/>
          <w:i/>
          <w:iCs/>
          <w:color w:val="000000"/>
          <w:sz w:val="18"/>
          <w:szCs w:val="18"/>
        </w:rPr>
        <w:t xml:space="preserve">Variance is </w:t>
      </w:r>
      <w:r w:rsidRPr="002617CF">
        <w:rPr>
          <w:rFonts w:asciiTheme="minorHAnsi" w:hAnsiTheme="minorHAnsi" w:cs="Arial"/>
          <w:i/>
          <w:iCs/>
          <w:color w:val="000000"/>
          <w:sz w:val="18"/>
          <w:szCs w:val="18"/>
          <w:u w:val="single"/>
        </w:rPr>
        <w:t>not</w:t>
      </w:r>
      <w:r w:rsidRPr="002617CF">
        <w:rPr>
          <w:rFonts w:asciiTheme="minorHAnsi" w:hAnsiTheme="minorHAnsi" w:cs="Arial"/>
          <w:i/>
          <w:iCs/>
          <w:color w:val="000000"/>
          <w:sz w:val="18"/>
          <w:szCs w:val="18"/>
        </w:rPr>
        <w:t xml:space="preserve"> statistically significant</w:t>
      </w:r>
    </w:p>
    <w:p w14:paraId="2237912D" w14:textId="77777777" w:rsidR="002E6CF9" w:rsidRPr="002617CF" w:rsidRDefault="002E6CF9" w:rsidP="00E25D4D">
      <w:pPr>
        <w:rPr>
          <w:rFonts w:asciiTheme="minorHAnsi" w:hAnsiTheme="minorHAnsi" w:cs="Arial"/>
          <w:i/>
          <w:iCs/>
          <w:color w:val="000000"/>
          <w:sz w:val="18"/>
          <w:szCs w:val="18"/>
        </w:rPr>
      </w:pPr>
    </w:p>
    <w:p w14:paraId="48C92857" w14:textId="77777777" w:rsidR="00E25D4D" w:rsidRPr="002617CF" w:rsidRDefault="00E25D4D" w:rsidP="00E25D4D">
      <w:pPr>
        <w:rPr>
          <w:rFonts w:asciiTheme="minorHAnsi" w:hAnsiTheme="minorHAnsi" w:cs="Arial"/>
          <w:i/>
          <w:iCs/>
          <w:color w:val="000000"/>
          <w:sz w:val="20"/>
          <w:szCs w:val="18"/>
        </w:rPr>
      </w:pPr>
      <w:r w:rsidRPr="002617CF">
        <w:rPr>
          <w:rFonts w:asciiTheme="minorHAnsi" w:hAnsiTheme="minorHAnsi" w:cs="Arial"/>
          <w:i/>
          <w:iCs/>
          <w:color w:val="000000"/>
          <w:sz w:val="20"/>
          <w:szCs w:val="18"/>
        </w:rPr>
        <w:t xml:space="preserve">It </w:t>
      </w:r>
      <w:proofErr w:type="gramStart"/>
      <w:r w:rsidRPr="002617CF">
        <w:rPr>
          <w:rFonts w:asciiTheme="minorHAnsi" w:hAnsiTheme="minorHAnsi" w:cs="Arial"/>
          <w:i/>
          <w:iCs/>
          <w:color w:val="000000"/>
          <w:sz w:val="20"/>
          <w:szCs w:val="18"/>
        </w:rPr>
        <w:t>should be noted</w:t>
      </w:r>
      <w:proofErr w:type="gramEnd"/>
      <w:r w:rsidRPr="002617CF">
        <w:rPr>
          <w:rFonts w:asciiTheme="minorHAnsi" w:hAnsiTheme="minorHAnsi" w:cs="Arial"/>
          <w:i/>
          <w:iCs/>
          <w:color w:val="000000"/>
          <w:sz w:val="20"/>
          <w:szCs w:val="18"/>
        </w:rPr>
        <w:t xml:space="preserve"> that the numbers are small and therefore will be subject to greater variation from year to year.</w:t>
      </w:r>
    </w:p>
    <w:p w14:paraId="681D65E6" w14:textId="77777777" w:rsidR="002E6CF9" w:rsidRPr="002617CF" w:rsidRDefault="002E6CF9" w:rsidP="00E25D4D">
      <w:pPr>
        <w:jc w:val="center"/>
        <w:rPr>
          <w:rStyle w:val="Strong"/>
          <w:rFonts w:asciiTheme="minorHAnsi" w:hAnsiTheme="minorHAnsi" w:cs="Arial"/>
          <w:color w:val="000000"/>
          <w:sz w:val="32"/>
          <w:szCs w:val="19"/>
          <w:bdr w:val="none" w:sz="0" w:space="0" w:color="auto" w:frame="1"/>
          <w:shd w:val="clear" w:color="auto" w:fill="FFFFFF"/>
        </w:rPr>
      </w:pPr>
    </w:p>
    <w:p w14:paraId="4ADB0FA8" w14:textId="77777777" w:rsidR="002F560D" w:rsidRPr="002F560D" w:rsidRDefault="00E25D4D" w:rsidP="00E25D4D">
      <w:pPr>
        <w:jc w:val="center"/>
        <w:rPr>
          <w:rStyle w:val="Strong"/>
          <w:rFonts w:asciiTheme="minorHAnsi" w:hAnsiTheme="minorHAnsi" w:cs="Arial"/>
          <w:b w:val="0"/>
          <w:color w:val="000000"/>
          <w:sz w:val="28"/>
          <w:szCs w:val="19"/>
          <w:bdr w:val="none" w:sz="0" w:space="0" w:color="auto" w:frame="1"/>
          <w:shd w:val="clear" w:color="auto" w:fill="FFFFFF"/>
        </w:rPr>
      </w:pPr>
      <w:r w:rsidRPr="002F560D">
        <w:rPr>
          <w:rStyle w:val="Strong"/>
          <w:rFonts w:asciiTheme="minorHAnsi" w:hAnsiTheme="minorHAnsi" w:cs="Arial"/>
          <w:color w:val="000000"/>
          <w:sz w:val="28"/>
          <w:szCs w:val="19"/>
          <w:bdr w:val="none" w:sz="0" w:space="0" w:color="auto" w:frame="1"/>
          <w:shd w:val="clear" w:color="auto" w:fill="FFFFFF"/>
        </w:rPr>
        <w:t>Strategic ambition: Fair recruitment and admissions</w:t>
      </w:r>
    </w:p>
    <w:p w14:paraId="50F47779" w14:textId="77777777" w:rsidR="00E25D4D" w:rsidRPr="002617CF" w:rsidRDefault="002F560D" w:rsidP="00E25D4D">
      <w:pPr>
        <w:pStyle w:val="ListParagraph"/>
        <w:keepNext/>
        <w:numPr>
          <w:ilvl w:val="0"/>
          <w:numId w:val="12"/>
        </w:numPr>
        <w:spacing w:before="360"/>
        <w:ind w:left="426" w:hanging="426"/>
        <w:rPr>
          <w:b/>
        </w:rPr>
      </w:pPr>
      <w:r>
        <w:rPr>
          <w:b/>
        </w:rPr>
        <w:t>A</w:t>
      </w:r>
      <w:r w:rsidR="00E25D4D" w:rsidRPr="002617CF">
        <w:rPr>
          <w:b/>
        </w:rPr>
        <w:t>dditional indicators of socio-economic disadvantage</w:t>
      </w:r>
    </w:p>
    <w:p w14:paraId="4D9835D2" w14:textId="77777777" w:rsidR="00E25D4D" w:rsidRPr="002617CF" w:rsidRDefault="00E25D4D" w:rsidP="00E25D4D">
      <w:pPr>
        <w:keepNext/>
        <w:spacing w:before="120"/>
        <w:rPr>
          <w:rFonts w:asciiTheme="minorHAnsi" w:hAnsiTheme="minorHAnsi"/>
          <w:u w:val="single"/>
        </w:rPr>
      </w:pPr>
      <w:r w:rsidRPr="002617CF">
        <w:rPr>
          <w:rFonts w:asciiTheme="minorHAnsi" w:hAnsiTheme="minorHAnsi"/>
          <w:u w:val="single"/>
        </w:rPr>
        <w:t>Free school meals</w:t>
      </w:r>
    </w:p>
    <w:p w14:paraId="6355A376" w14:textId="77777777" w:rsidR="00E25D4D" w:rsidRPr="002617CF" w:rsidRDefault="00E25D4D" w:rsidP="00E25D4D">
      <w:pPr>
        <w:keepNext/>
        <w:rPr>
          <w:rFonts w:asciiTheme="minorHAnsi" w:hAnsiTheme="minorHAnsi"/>
        </w:rPr>
      </w:pPr>
      <w:r w:rsidRPr="002617CF">
        <w:rPr>
          <w:rFonts w:asciiTheme="minorHAnsi" w:hAnsiTheme="minorHAnsi"/>
        </w:rPr>
        <w:t xml:space="preserve">Marketing and Student Recruitment have been reviewing the data available on free school meal eligibility. More work </w:t>
      </w:r>
      <w:proofErr w:type="gramStart"/>
      <w:r w:rsidRPr="002617CF">
        <w:rPr>
          <w:rFonts w:asciiTheme="minorHAnsi" w:hAnsiTheme="minorHAnsi"/>
        </w:rPr>
        <w:t>is needed</w:t>
      </w:r>
      <w:proofErr w:type="gramEnd"/>
      <w:r w:rsidRPr="002617CF">
        <w:rPr>
          <w:rFonts w:asciiTheme="minorHAnsi" w:hAnsiTheme="minorHAnsi"/>
        </w:rPr>
        <w:t xml:space="preserve"> to explore using this data to target schools for our outreach work. </w:t>
      </w:r>
    </w:p>
    <w:p w14:paraId="676CCE77" w14:textId="77777777" w:rsidR="002E6CF9" w:rsidRPr="002617CF" w:rsidRDefault="002E6CF9" w:rsidP="00E25D4D">
      <w:pPr>
        <w:keepNext/>
        <w:rPr>
          <w:rFonts w:asciiTheme="minorHAnsi" w:hAnsiTheme="minorHAnsi"/>
        </w:rPr>
      </w:pPr>
    </w:p>
    <w:p w14:paraId="54399AF3" w14:textId="77777777" w:rsidR="00E25D4D" w:rsidRPr="002617CF" w:rsidRDefault="00E25D4D" w:rsidP="00E25D4D">
      <w:pPr>
        <w:rPr>
          <w:rFonts w:asciiTheme="minorHAnsi" w:hAnsiTheme="minorHAnsi"/>
        </w:rPr>
      </w:pPr>
      <w:r w:rsidRPr="002617CF">
        <w:rPr>
          <w:rFonts w:asciiTheme="minorHAnsi" w:hAnsiTheme="minorHAnsi"/>
        </w:rPr>
        <w:t xml:space="preserve">We would recommend that </w:t>
      </w:r>
      <w:r w:rsidRPr="002617CF">
        <w:rPr>
          <w:rFonts w:asciiTheme="minorHAnsi" w:hAnsiTheme="minorHAnsi"/>
          <w:i/>
        </w:rPr>
        <w:t>take up</w:t>
      </w:r>
      <w:r w:rsidRPr="002617CF">
        <w:rPr>
          <w:rFonts w:asciiTheme="minorHAnsi" w:hAnsiTheme="minorHAnsi"/>
        </w:rPr>
        <w:t xml:space="preserve"> of free school meals is not a suitable measure at the level of individuals and therefore to be used in our contextual admissions policy, because robust individual level data is not available (the only available individual-level data is self-declared on the UCAS form, which is known not to be a robust data source.</w:t>
      </w:r>
    </w:p>
    <w:p w14:paraId="40FA2F73" w14:textId="77777777" w:rsidR="002E6CF9" w:rsidRPr="002617CF" w:rsidRDefault="002E6CF9" w:rsidP="00E25D4D">
      <w:pPr>
        <w:rPr>
          <w:rFonts w:asciiTheme="minorHAnsi" w:hAnsiTheme="minorHAnsi"/>
        </w:rPr>
      </w:pPr>
    </w:p>
    <w:p w14:paraId="58FB1A14" w14:textId="77777777" w:rsidR="00E25D4D" w:rsidRPr="002617CF" w:rsidRDefault="00E25D4D" w:rsidP="00E25D4D">
      <w:pPr>
        <w:rPr>
          <w:rFonts w:asciiTheme="minorHAnsi" w:hAnsiTheme="minorHAnsi"/>
        </w:rPr>
      </w:pPr>
      <w:proofErr w:type="gramStart"/>
      <w:r w:rsidRPr="002617CF">
        <w:rPr>
          <w:rFonts w:asciiTheme="minorHAnsi" w:hAnsiTheme="minorHAnsi"/>
        </w:rPr>
        <w:t>However</w:t>
      </w:r>
      <w:proofErr w:type="gramEnd"/>
      <w:r w:rsidRPr="002617CF">
        <w:rPr>
          <w:rFonts w:asciiTheme="minorHAnsi" w:hAnsiTheme="minorHAnsi"/>
        </w:rPr>
        <w:t xml:space="preserve"> </w:t>
      </w:r>
      <w:r w:rsidRPr="002617CF">
        <w:rPr>
          <w:rFonts w:asciiTheme="minorHAnsi" w:hAnsiTheme="minorHAnsi"/>
          <w:i/>
        </w:rPr>
        <w:t>eligibility</w:t>
      </w:r>
      <w:r w:rsidRPr="002617CF">
        <w:rPr>
          <w:rFonts w:asciiTheme="minorHAnsi" w:hAnsiTheme="minorHAnsi"/>
        </w:rPr>
        <w:t xml:space="preserve"> for free school meal index data is available by school (the proportion of students eligible for free school meals). We currently work with schools based on their proportion of students from Communities First cluster areas. Communications and Marketing have mapped schools with high proportion of eligibility </w:t>
      </w:r>
      <w:proofErr w:type="gramStart"/>
      <w:r w:rsidRPr="002617CF">
        <w:rPr>
          <w:rFonts w:asciiTheme="minorHAnsi" w:hAnsiTheme="minorHAnsi"/>
        </w:rPr>
        <w:t>for free</w:t>
      </w:r>
      <w:proofErr w:type="gramEnd"/>
      <w:r w:rsidRPr="002617CF">
        <w:rPr>
          <w:rFonts w:asciiTheme="minorHAnsi" w:hAnsiTheme="minorHAnsi"/>
        </w:rPr>
        <w:t xml:space="preserve"> school meals against schools with high proportion of students from Communities First clusters to ensure that we are not missing any schools that have a low proportion of students from Communities First clusters, but high proportion of students eligible for free school meals. Mapping has been limited to schools in Wales because our outreach work needs to continue within the same budget envelope.</w:t>
      </w:r>
    </w:p>
    <w:p w14:paraId="34246029" w14:textId="77777777" w:rsidR="00E25D4D" w:rsidRPr="002617CF" w:rsidRDefault="00E25D4D" w:rsidP="00E25D4D">
      <w:pPr>
        <w:pStyle w:val="ListParagraph"/>
        <w:numPr>
          <w:ilvl w:val="0"/>
          <w:numId w:val="12"/>
        </w:numPr>
        <w:spacing w:before="360"/>
        <w:ind w:left="426" w:hanging="426"/>
        <w:rPr>
          <w:b/>
        </w:rPr>
      </w:pPr>
      <w:r w:rsidRPr="002617CF">
        <w:rPr>
          <w:b/>
        </w:rPr>
        <w:t>Indicators of educational disadvantage</w:t>
      </w:r>
    </w:p>
    <w:p w14:paraId="7289D823" w14:textId="77777777" w:rsidR="00E25D4D" w:rsidRPr="002617CF" w:rsidRDefault="00E25D4D" w:rsidP="00E25D4D">
      <w:pPr>
        <w:rPr>
          <w:rFonts w:asciiTheme="minorHAnsi" w:hAnsiTheme="minorHAnsi"/>
        </w:rPr>
      </w:pPr>
      <w:r w:rsidRPr="002617CF">
        <w:rPr>
          <w:rFonts w:asciiTheme="minorHAnsi" w:hAnsiTheme="minorHAnsi"/>
        </w:rPr>
        <w:t>We have identified two ways of using information about educational disadvantage:</w:t>
      </w:r>
    </w:p>
    <w:p w14:paraId="2D35AF5A" w14:textId="77777777" w:rsidR="002E6CF9" w:rsidRPr="002617CF" w:rsidRDefault="002E6CF9" w:rsidP="00E25D4D">
      <w:pPr>
        <w:rPr>
          <w:rFonts w:asciiTheme="minorHAnsi" w:hAnsiTheme="minorHAnsi"/>
        </w:rPr>
      </w:pPr>
    </w:p>
    <w:p w14:paraId="7F94D440" w14:textId="77777777" w:rsidR="00E25D4D" w:rsidRPr="002617CF" w:rsidRDefault="00E25D4D" w:rsidP="00E25D4D">
      <w:pPr>
        <w:pStyle w:val="ListParagraph"/>
        <w:numPr>
          <w:ilvl w:val="0"/>
          <w:numId w:val="15"/>
        </w:numPr>
      </w:pPr>
      <w:r w:rsidRPr="002617CF">
        <w:t xml:space="preserve">Fair admissions, by making </w:t>
      </w:r>
      <w:r w:rsidRPr="002617CF">
        <w:rPr>
          <w:u w:val="single"/>
        </w:rPr>
        <w:t>contextual admissions</w:t>
      </w:r>
      <w:r w:rsidRPr="002617CF">
        <w:t xml:space="preserve"> on the basis of an individuals’ educational as well as socio-economic background; and</w:t>
      </w:r>
    </w:p>
    <w:p w14:paraId="0B9FA32C" w14:textId="77777777" w:rsidR="00E25D4D" w:rsidRPr="002617CF" w:rsidRDefault="00E25D4D" w:rsidP="00E25D4D">
      <w:pPr>
        <w:pStyle w:val="ListParagraph"/>
        <w:numPr>
          <w:ilvl w:val="0"/>
          <w:numId w:val="15"/>
        </w:numPr>
      </w:pPr>
      <w:r w:rsidRPr="002617CF">
        <w:t xml:space="preserve">To explore using this data to target outreach work. </w:t>
      </w:r>
    </w:p>
    <w:p w14:paraId="064395A5" w14:textId="77777777" w:rsidR="00E25D4D" w:rsidRPr="002617CF" w:rsidRDefault="00E25D4D" w:rsidP="00E25D4D">
      <w:pPr>
        <w:rPr>
          <w:rFonts w:asciiTheme="minorHAnsi" w:hAnsiTheme="minorHAnsi"/>
        </w:rPr>
      </w:pPr>
      <w:r w:rsidRPr="002617CF">
        <w:rPr>
          <w:rFonts w:asciiTheme="minorHAnsi" w:hAnsiTheme="minorHAnsi"/>
        </w:rPr>
        <w:t>Desk-based research identified that other Russell Group Universities were using school performance data (at GCSE and A level) in their contextual admissions policies. We have obtained this data for England, and are in contact with Welsh Government, Northern Ireland and Scotland to obtain similar data.</w:t>
      </w:r>
    </w:p>
    <w:p w14:paraId="69D0996E" w14:textId="77777777" w:rsidR="002E6CF9" w:rsidRPr="002617CF" w:rsidRDefault="002E6CF9" w:rsidP="00E25D4D">
      <w:pPr>
        <w:rPr>
          <w:rFonts w:asciiTheme="minorHAnsi" w:hAnsiTheme="minorHAnsi"/>
        </w:rPr>
      </w:pPr>
    </w:p>
    <w:p w14:paraId="029AFD89" w14:textId="77777777" w:rsidR="00E25D4D" w:rsidRPr="002617CF" w:rsidRDefault="00E25D4D" w:rsidP="00E25D4D">
      <w:pPr>
        <w:rPr>
          <w:rFonts w:asciiTheme="minorHAnsi" w:hAnsiTheme="minorHAnsi"/>
        </w:rPr>
      </w:pPr>
      <w:r w:rsidRPr="002617CF">
        <w:rPr>
          <w:rFonts w:asciiTheme="minorHAnsi" w:hAnsiTheme="minorHAnsi"/>
        </w:rPr>
        <w:t xml:space="preserve">There are a number of issues that will need to </w:t>
      </w:r>
      <w:proofErr w:type="gramStart"/>
      <w:r w:rsidRPr="002617CF">
        <w:rPr>
          <w:rFonts w:asciiTheme="minorHAnsi" w:hAnsiTheme="minorHAnsi"/>
        </w:rPr>
        <w:t>be addressed</w:t>
      </w:r>
      <w:proofErr w:type="gramEnd"/>
      <w:r w:rsidRPr="002617CF">
        <w:rPr>
          <w:rFonts w:asciiTheme="minorHAnsi" w:hAnsiTheme="minorHAnsi"/>
        </w:rPr>
        <w:t>:</w:t>
      </w:r>
    </w:p>
    <w:p w14:paraId="0EFD2BD1" w14:textId="77777777" w:rsidR="002E6CF9" w:rsidRPr="002617CF" w:rsidRDefault="002E6CF9" w:rsidP="00E25D4D">
      <w:pPr>
        <w:rPr>
          <w:rFonts w:asciiTheme="minorHAnsi" w:hAnsiTheme="minorHAnsi"/>
        </w:rPr>
      </w:pPr>
    </w:p>
    <w:p w14:paraId="2186A980" w14:textId="77777777" w:rsidR="00E25D4D" w:rsidRPr="002617CF" w:rsidRDefault="00E25D4D" w:rsidP="00E25D4D">
      <w:pPr>
        <w:pStyle w:val="ListParagraph"/>
        <w:numPr>
          <w:ilvl w:val="0"/>
          <w:numId w:val="13"/>
        </w:numPr>
      </w:pPr>
      <w:r w:rsidRPr="002617CF">
        <w:t xml:space="preserve">Given the datasets will not be the same across UK </w:t>
      </w:r>
      <w:proofErr w:type="gramStart"/>
      <w:r w:rsidRPr="002617CF">
        <w:t>regions,</w:t>
      </w:r>
      <w:proofErr w:type="gramEnd"/>
      <w:r w:rsidRPr="002617CF">
        <w:t xml:space="preserve"> we will need to agree how we will ensure fair treatment and comparability.</w:t>
      </w:r>
    </w:p>
    <w:p w14:paraId="4621634C" w14:textId="77777777" w:rsidR="00E25D4D" w:rsidRPr="002617CF" w:rsidRDefault="00E25D4D" w:rsidP="00E25D4D">
      <w:pPr>
        <w:pStyle w:val="ListParagraph"/>
        <w:numPr>
          <w:ilvl w:val="0"/>
          <w:numId w:val="13"/>
        </w:numPr>
      </w:pPr>
      <w:r w:rsidRPr="002617CF">
        <w:t xml:space="preserve">Definition of lowest performing schools e.g. 40% lowest performing schools </w:t>
      </w:r>
    </w:p>
    <w:p w14:paraId="09EB459C" w14:textId="77777777" w:rsidR="00E25D4D" w:rsidRPr="002617CF" w:rsidRDefault="00E25D4D" w:rsidP="00E25D4D">
      <w:pPr>
        <w:pStyle w:val="ListParagraph"/>
        <w:numPr>
          <w:ilvl w:val="0"/>
          <w:numId w:val="13"/>
        </w:numPr>
      </w:pPr>
      <w:r w:rsidRPr="002617CF">
        <w:t>How to cater for regional differences in data e.g. may need to apply lowest x% by UK region rather than lowest x% for UK as a whole (may disadvantage some Welsh applicants)</w:t>
      </w:r>
    </w:p>
    <w:p w14:paraId="21DA33D6" w14:textId="77777777" w:rsidR="00E25D4D" w:rsidRPr="002617CF" w:rsidRDefault="00E25D4D" w:rsidP="00E25D4D">
      <w:pPr>
        <w:pStyle w:val="ListParagraph"/>
        <w:numPr>
          <w:ilvl w:val="0"/>
          <w:numId w:val="13"/>
        </w:numPr>
      </w:pPr>
      <w:r w:rsidRPr="002617CF">
        <w:t>Some schools will only have GCSE data (where they do not have sixth forms and students have gone to FECs for A levels). This is an issue that other universities will have dealt with, for example Manchester publish a list the schools/FECs that they treat differently in their contextual admissions policy, and show whether they’re using L2 (GCSE) or L3 data (A level).</w:t>
      </w:r>
    </w:p>
    <w:p w14:paraId="4B035B21" w14:textId="77777777" w:rsidR="00E25D4D" w:rsidRPr="002617CF" w:rsidRDefault="00E25D4D" w:rsidP="00E25D4D">
      <w:pPr>
        <w:pStyle w:val="ListParagraph"/>
        <w:numPr>
          <w:ilvl w:val="0"/>
          <w:numId w:val="13"/>
        </w:numPr>
      </w:pPr>
      <w:r w:rsidRPr="002617CF">
        <w:t>Cleanse schools lists and ensure consistent with UCAS / SIMS schools lists</w:t>
      </w:r>
    </w:p>
    <w:p w14:paraId="5ACBD847" w14:textId="77777777" w:rsidR="00E25D4D" w:rsidRPr="002617CF" w:rsidRDefault="00E25D4D" w:rsidP="00E25D4D">
      <w:pPr>
        <w:rPr>
          <w:rFonts w:asciiTheme="minorHAnsi" w:hAnsiTheme="minorHAnsi"/>
        </w:rPr>
      </w:pPr>
      <w:r w:rsidRPr="002617CF">
        <w:rPr>
          <w:rFonts w:asciiTheme="minorHAnsi" w:hAnsiTheme="minorHAnsi"/>
        </w:rPr>
        <w:t xml:space="preserve">In addition there will be a further practical and system needs to </w:t>
      </w:r>
      <w:proofErr w:type="gramStart"/>
      <w:r w:rsidRPr="002617CF">
        <w:rPr>
          <w:rFonts w:asciiTheme="minorHAnsi" w:hAnsiTheme="minorHAnsi"/>
        </w:rPr>
        <w:t>be addressed</w:t>
      </w:r>
      <w:proofErr w:type="gramEnd"/>
      <w:r w:rsidRPr="002617CF">
        <w:rPr>
          <w:rFonts w:asciiTheme="minorHAnsi" w:hAnsiTheme="minorHAnsi"/>
        </w:rPr>
        <w:t xml:space="preserve"> for using this data in a contextual admissions policy, which will be considered in a separate paper.</w:t>
      </w:r>
    </w:p>
    <w:p w14:paraId="59350D15" w14:textId="77777777" w:rsidR="002E6CF9" w:rsidRPr="002617CF" w:rsidRDefault="002E6CF9" w:rsidP="00E25D4D">
      <w:pPr>
        <w:rPr>
          <w:rFonts w:asciiTheme="minorHAnsi" w:hAnsiTheme="minorHAnsi"/>
        </w:rPr>
      </w:pPr>
    </w:p>
    <w:p w14:paraId="6343D10B" w14:textId="77777777" w:rsidR="002F560D" w:rsidRDefault="002F560D">
      <w:pPr>
        <w:spacing w:after="160" w:line="259" w:lineRule="auto"/>
        <w:rPr>
          <w:rFonts w:asciiTheme="minorHAnsi" w:hAnsiTheme="minorHAnsi"/>
          <w:b/>
          <w:sz w:val="28"/>
        </w:rPr>
      </w:pPr>
      <w:r>
        <w:rPr>
          <w:rFonts w:asciiTheme="minorHAnsi" w:hAnsiTheme="minorHAnsi"/>
          <w:b/>
          <w:sz w:val="28"/>
        </w:rPr>
        <w:br w:type="page"/>
      </w:r>
    </w:p>
    <w:p w14:paraId="3BB77AD9" w14:textId="77777777" w:rsidR="00E25D4D" w:rsidRPr="002F560D" w:rsidRDefault="00E25D4D" w:rsidP="00E25D4D">
      <w:pPr>
        <w:jc w:val="center"/>
        <w:rPr>
          <w:rFonts w:asciiTheme="minorHAnsi" w:hAnsiTheme="minorHAnsi"/>
          <w:b/>
          <w:sz w:val="28"/>
        </w:rPr>
      </w:pPr>
      <w:r w:rsidRPr="002F560D">
        <w:rPr>
          <w:rFonts w:asciiTheme="minorHAnsi" w:hAnsiTheme="minorHAnsi"/>
          <w:b/>
          <w:sz w:val="28"/>
        </w:rPr>
        <w:t>Strategic ambition:</w:t>
      </w:r>
      <w:r w:rsidRPr="002F560D">
        <w:rPr>
          <w:rFonts w:asciiTheme="minorHAnsi" w:hAnsiTheme="minorHAnsi"/>
          <w:sz w:val="28"/>
        </w:rPr>
        <w:t xml:space="preserve"> </w:t>
      </w:r>
      <w:r w:rsidRPr="002F560D">
        <w:rPr>
          <w:rFonts w:asciiTheme="minorHAnsi" w:hAnsiTheme="minorHAnsi"/>
          <w:b/>
          <w:sz w:val="28"/>
        </w:rPr>
        <w:t>Supporting students</w:t>
      </w:r>
    </w:p>
    <w:p w14:paraId="08F0A73C" w14:textId="77777777" w:rsidR="002E6CF9" w:rsidRPr="002617CF" w:rsidRDefault="002E6CF9" w:rsidP="00E25D4D">
      <w:pPr>
        <w:jc w:val="center"/>
        <w:rPr>
          <w:rFonts w:asciiTheme="minorHAnsi" w:hAnsiTheme="minorHAnsi"/>
          <w:sz w:val="32"/>
        </w:rPr>
      </w:pPr>
    </w:p>
    <w:p w14:paraId="134C5874" w14:textId="77777777" w:rsidR="00E25D4D" w:rsidRPr="002617CF" w:rsidRDefault="00E25D4D" w:rsidP="00E25D4D">
      <w:pPr>
        <w:pBdr>
          <w:top w:val="single" w:sz="4" w:space="1" w:color="auto"/>
          <w:left w:val="single" w:sz="4" w:space="1" w:color="auto"/>
          <w:bottom w:val="single" w:sz="4" w:space="1" w:color="auto"/>
          <w:right w:val="single" w:sz="4" w:space="1" w:color="auto"/>
        </w:pBdr>
        <w:rPr>
          <w:rFonts w:asciiTheme="minorHAnsi" w:hAnsiTheme="minorHAnsi"/>
          <w:b/>
        </w:rPr>
      </w:pPr>
      <w:r w:rsidRPr="002617CF">
        <w:rPr>
          <w:rStyle w:val="Strong"/>
          <w:rFonts w:asciiTheme="minorHAnsi" w:hAnsiTheme="minorHAnsi" w:cs="Arial"/>
          <w:color w:val="000000"/>
          <w:szCs w:val="19"/>
          <w:bdr w:val="none" w:sz="0" w:space="0" w:color="auto" w:frame="1"/>
          <w:shd w:val="clear" w:color="auto" w:fill="FFFFFF"/>
        </w:rPr>
        <w:t xml:space="preserve">Proposed measure/indicator 3: </w:t>
      </w:r>
      <w:r w:rsidRPr="002617CF">
        <w:rPr>
          <w:rFonts w:asciiTheme="minorHAnsi" w:hAnsiTheme="minorHAnsi"/>
          <w:b/>
        </w:rPr>
        <w:t xml:space="preserve">Percentage of full time </w:t>
      </w:r>
      <w:proofErr w:type="gramStart"/>
      <w:r w:rsidRPr="002617CF">
        <w:rPr>
          <w:rFonts w:asciiTheme="minorHAnsi" w:hAnsiTheme="minorHAnsi"/>
          <w:b/>
        </w:rPr>
        <w:t>first degree</w:t>
      </w:r>
      <w:proofErr w:type="gramEnd"/>
      <w:r w:rsidRPr="002617CF">
        <w:rPr>
          <w:rFonts w:asciiTheme="minorHAnsi" w:hAnsiTheme="minorHAnsi"/>
          <w:b/>
        </w:rPr>
        <w:t xml:space="preserve"> entrants no longer in HE following year of entry.</w:t>
      </w:r>
    </w:p>
    <w:p w14:paraId="72EA21B2" w14:textId="77777777" w:rsidR="002E6CF9" w:rsidRPr="002617CF" w:rsidRDefault="002E6CF9" w:rsidP="00E25D4D">
      <w:pPr>
        <w:pBdr>
          <w:top w:val="single" w:sz="4" w:space="1" w:color="auto"/>
          <w:left w:val="single" w:sz="4" w:space="1" w:color="auto"/>
          <w:bottom w:val="single" w:sz="4" w:space="1" w:color="auto"/>
          <w:right w:val="single" w:sz="4" w:space="1" w:color="auto"/>
        </w:pBdr>
        <w:rPr>
          <w:rFonts w:asciiTheme="minorHAnsi" w:hAnsiTheme="minorHAnsi"/>
          <w:b/>
        </w:rPr>
      </w:pPr>
    </w:p>
    <w:p w14:paraId="1B1B956A" w14:textId="77777777" w:rsidR="00E25D4D" w:rsidRPr="002617CF" w:rsidRDefault="00E25D4D" w:rsidP="00E25D4D">
      <w:pPr>
        <w:pBdr>
          <w:top w:val="single" w:sz="4" w:space="1" w:color="auto"/>
          <w:left w:val="single" w:sz="4" w:space="1" w:color="auto"/>
          <w:bottom w:val="single" w:sz="4" w:space="1" w:color="auto"/>
          <w:right w:val="single" w:sz="4" w:space="1" w:color="auto"/>
        </w:pBdr>
        <w:rPr>
          <w:rFonts w:asciiTheme="minorHAnsi" w:hAnsiTheme="minorHAnsi"/>
          <w:b/>
          <w:color w:val="000000"/>
        </w:rPr>
      </w:pPr>
      <w:r w:rsidRPr="002617CF">
        <w:rPr>
          <w:rFonts w:asciiTheme="minorHAnsi" w:hAnsiTheme="minorHAnsi"/>
          <w:b/>
        </w:rPr>
        <w:t xml:space="preserve">3a </w:t>
      </w:r>
      <w:r w:rsidRPr="002617CF">
        <w:rPr>
          <w:rFonts w:asciiTheme="minorHAnsi" w:hAnsiTheme="minorHAnsi"/>
          <w:b/>
          <w:color w:val="000000"/>
        </w:rPr>
        <w:t>Young entrants from low participation neighbourhoods.</w:t>
      </w:r>
    </w:p>
    <w:p w14:paraId="0C3FBEC8" w14:textId="77777777" w:rsidR="002E6CF9" w:rsidRPr="002617CF" w:rsidRDefault="002E6CF9" w:rsidP="00E25D4D">
      <w:pPr>
        <w:pBdr>
          <w:top w:val="single" w:sz="4" w:space="1" w:color="auto"/>
          <w:left w:val="single" w:sz="4" w:space="1" w:color="auto"/>
          <w:bottom w:val="single" w:sz="4" w:space="1" w:color="auto"/>
          <w:right w:val="single" w:sz="4" w:space="1" w:color="auto"/>
        </w:pBdr>
        <w:rPr>
          <w:rFonts w:asciiTheme="minorHAnsi" w:hAnsiTheme="minorHAnsi"/>
          <w:b/>
        </w:rPr>
      </w:pPr>
    </w:p>
    <w:p w14:paraId="0486A5C6" w14:textId="77777777" w:rsidR="00E25D4D" w:rsidRPr="002617CF" w:rsidRDefault="00E25D4D" w:rsidP="00E25D4D">
      <w:pPr>
        <w:pBdr>
          <w:top w:val="single" w:sz="4" w:space="1" w:color="auto"/>
          <w:left w:val="single" w:sz="4" w:space="1" w:color="auto"/>
          <w:bottom w:val="single" w:sz="4" w:space="1" w:color="auto"/>
          <w:right w:val="single" w:sz="4" w:space="1" w:color="auto"/>
        </w:pBdr>
        <w:rPr>
          <w:rFonts w:asciiTheme="minorHAnsi" w:hAnsiTheme="minorHAnsi"/>
          <w:b/>
        </w:rPr>
      </w:pPr>
      <w:r w:rsidRPr="002617CF">
        <w:rPr>
          <w:rFonts w:asciiTheme="minorHAnsi" w:hAnsiTheme="minorHAnsi"/>
          <w:b/>
        </w:rPr>
        <w:t xml:space="preserve">3b </w:t>
      </w:r>
      <w:proofErr w:type="gramStart"/>
      <w:r w:rsidRPr="002617CF">
        <w:rPr>
          <w:rFonts w:asciiTheme="minorHAnsi" w:hAnsiTheme="minorHAnsi"/>
          <w:b/>
        </w:rPr>
        <w:t>Mature</w:t>
      </w:r>
      <w:proofErr w:type="gramEnd"/>
      <w:r w:rsidRPr="002617CF">
        <w:rPr>
          <w:rFonts w:asciiTheme="minorHAnsi" w:hAnsiTheme="minorHAnsi"/>
          <w:b/>
        </w:rPr>
        <w:t xml:space="preserve"> students with no previous higher education qualification.</w:t>
      </w:r>
    </w:p>
    <w:p w14:paraId="3C92495D" w14:textId="77777777" w:rsidR="002E6CF9" w:rsidRPr="002617CF" w:rsidRDefault="002E6CF9" w:rsidP="00E25D4D">
      <w:pPr>
        <w:pBdr>
          <w:top w:val="single" w:sz="4" w:space="1" w:color="auto"/>
          <w:left w:val="single" w:sz="4" w:space="1" w:color="auto"/>
          <w:bottom w:val="single" w:sz="4" w:space="1" w:color="auto"/>
          <w:right w:val="single" w:sz="4" w:space="1" w:color="auto"/>
        </w:pBdr>
        <w:rPr>
          <w:rFonts w:asciiTheme="minorHAnsi" w:hAnsiTheme="minorHAnsi"/>
          <w:b/>
        </w:rPr>
      </w:pPr>
    </w:p>
    <w:p w14:paraId="5315439C" w14:textId="77777777" w:rsidR="00E25D4D" w:rsidRPr="002617CF" w:rsidRDefault="00E25D4D" w:rsidP="00E25D4D">
      <w:pPr>
        <w:pBdr>
          <w:top w:val="single" w:sz="4" w:space="1" w:color="auto"/>
          <w:left w:val="single" w:sz="4" w:space="1" w:color="auto"/>
          <w:bottom w:val="single" w:sz="4" w:space="1" w:color="auto"/>
          <w:right w:val="single" w:sz="4" w:space="1" w:color="auto"/>
        </w:pBdr>
        <w:rPr>
          <w:rFonts w:asciiTheme="minorHAnsi" w:hAnsiTheme="minorHAnsi"/>
          <w:b/>
        </w:rPr>
      </w:pPr>
      <w:r w:rsidRPr="002617CF">
        <w:rPr>
          <w:rFonts w:asciiTheme="minorHAnsi" w:hAnsiTheme="minorHAnsi"/>
          <w:b/>
        </w:rPr>
        <w:t>(ADDITIONAL RETENTION MEASURE)</w:t>
      </w:r>
    </w:p>
    <w:p w14:paraId="71CF94CE" w14:textId="77777777" w:rsidR="002E6CF9" w:rsidRPr="002617CF" w:rsidRDefault="002E6CF9" w:rsidP="00E25D4D">
      <w:pPr>
        <w:rPr>
          <w:rStyle w:val="Strong"/>
          <w:rFonts w:asciiTheme="minorHAnsi" w:hAnsiTheme="minorHAnsi" w:cs="Arial"/>
          <w:color w:val="000000"/>
          <w:szCs w:val="19"/>
          <w:bdr w:val="none" w:sz="0" w:space="0" w:color="auto" w:frame="1"/>
          <w:shd w:val="clear" w:color="auto" w:fill="FFFFFF"/>
        </w:rPr>
      </w:pPr>
    </w:p>
    <w:p w14:paraId="438C9A92" w14:textId="77777777" w:rsidR="00E25D4D" w:rsidRPr="002617CF" w:rsidRDefault="00E25D4D" w:rsidP="00E25D4D">
      <w:pPr>
        <w:rPr>
          <w:rStyle w:val="Strong"/>
          <w:rFonts w:asciiTheme="minorHAnsi" w:hAnsiTheme="minorHAnsi" w:cs="Arial"/>
          <w:b w:val="0"/>
          <w:color w:val="000000"/>
          <w:szCs w:val="19"/>
          <w:bdr w:val="none" w:sz="0" w:space="0" w:color="auto" w:frame="1"/>
          <w:shd w:val="clear" w:color="auto" w:fill="FFFFFF"/>
        </w:rPr>
      </w:pPr>
      <w:r w:rsidRPr="002617CF">
        <w:rPr>
          <w:rStyle w:val="Strong"/>
          <w:rFonts w:asciiTheme="minorHAnsi" w:hAnsiTheme="minorHAnsi" w:cs="Arial"/>
          <w:b w:val="0"/>
          <w:color w:val="000000"/>
          <w:szCs w:val="19"/>
          <w:bdr w:val="none" w:sz="0" w:space="0" w:color="auto" w:frame="1"/>
          <w:shd w:val="clear" w:color="auto" w:fill="FFFFFF"/>
        </w:rPr>
        <w:t xml:space="preserve">Table 5 below shows our success in retaining young students from low participation neighbourhoods studying for a first degree, showing the percentage who have left the university after one year. Data is available from 2009/10 to 2012/13. Over this </w:t>
      </w:r>
      <w:proofErr w:type="gramStart"/>
      <w:r w:rsidRPr="002617CF">
        <w:rPr>
          <w:rStyle w:val="Strong"/>
          <w:rFonts w:asciiTheme="minorHAnsi" w:hAnsiTheme="minorHAnsi" w:cs="Arial"/>
          <w:b w:val="0"/>
          <w:color w:val="000000"/>
          <w:szCs w:val="19"/>
          <w:bdr w:val="none" w:sz="0" w:space="0" w:color="auto" w:frame="1"/>
          <w:shd w:val="clear" w:color="auto" w:fill="FFFFFF"/>
        </w:rPr>
        <w:t>period</w:t>
      </w:r>
      <w:proofErr w:type="gramEnd"/>
      <w:r w:rsidRPr="002617CF">
        <w:rPr>
          <w:rStyle w:val="Strong"/>
          <w:rFonts w:asciiTheme="minorHAnsi" w:hAnsiTheme="minorHAnsi" w:cs="Arial"/>
          <w:b w:val="0"/>
          <w:color w:val="000000"/>
          <w:szCs w:val="19"/>
          <w:bdr w:val="none" w:sz="0" w:space="0" w:color="auto" w:frame="1"/>
          <w:shd w:val="clear" w:color="auto" w:fill="FFFFFF"/>
        </w:rPr>
        <w:t xml:space="preserve"> our performance trend has remained relatively stable.</w:t>
      </w:r>
    </w:p>
    <w:p w14:paraId="0412B713" w14:textId="77777777" w:rsidR="002E6CF9" w:rsidRPr="002617CF" w:rsidRDefault="002E6CF9" w:rsidP="00E25D4D">
      <w:pPr>
        <w:rPr>
          <w:rStyle w:val="Strong"/>
          <w:rFonts w:asciiTheme="minorHAnsi" w:hAnsiTheme="minorHAnsi" w:cs="Arial"/>
          <w:b w:val="0"/>
          <w:color w:val="000000"/>
          <w:szCs w:val="19"/>
          <w:bdr w:val="none" w:sz="0" w:space="0" w:color="auto" w:frame="1"/>
          <w:shd w:val="clear" w:color="auto" w:fill="FFFFFF"/>
        </w:rPr>
      </w:pPr>
    </w:p>
    <w:p w14:paraId="5D05F3D2" w14:textId="77777777" w:rsidR="00E25D4D" w:rsidRPr="002617CF" w:rsidRDefault="00E25D4D" w:rsidP="00E25D4D">
      <w:pPr>
        <w:rPr>
          <w:rStyle w:val="Strong"/>
          <w:rFonts w:asciiTheme="minorHAnsi" w:hAnsiTheme="minorHAnsi" w:cs="Arial"/>
          <w:b w:val="0"/>
          <w:color w:val="000000"/>
          <w:szCs w:val="19"/>
          <w:bdr w:val="none" w:sz="0" w:space="0" w:color="auto" w:frame="1"/>
          <w:shd w:val="clear" w:color="auto" w:fill="FFFFFF"/>
        </w:rPr>
      </w:pPr>
      <w:r w:rsidRPr="002617CF">
        <w:rPr>
          <w:rStyle w:val="Strong"/>
          <w:rFonts w:asciiTheme="minorHAnsi" w:hAnsiTheme="minorHAnsi" w:cs="Arial"/>
          <w:b w:val="0"/>
          <w:color w:val="000000"/>
          <w:szCs w:val="19"/>
          <w:bdr w:val="none" w:sz="0" w:space="0" w:color="auto" w:frame="1"/>
          <w:shd w:val="clear" w:color="auto" w:fill="FFFFFF"/>
        </w:rPr>
        <w:t xml:space="preserve">Table 6 below shows our success in retaining mature students with no prior experience of </w:t>
      </w:r>
      <w:proofErr w:type="gramStart"/>
      <w:r w:rsidRPr="002617CF">
        <w:rPr>
          <w:rStyle w:val="Strong"/>
          <w:rFonts w:asciiTheme="minorHAnsi" w:hAnsiTheme="minorHAnsi" w:cs="Arial"/>
          <w:b w:val="0"/>
          <w:color w:val="000000"/>
          <w:szCs w:val="19"/>
          <w:bdr w:val="none" w:sz="0" w:space="0" w:color="auto" w:frame="1"/>
          <w:shd w:val="clear" w:color="auto" w:fill="FFFFFF"/>
        </w:rPr>
        <w:t>HE</w:t>
      </w:r>
      <w:proofErr w:type="gramEnd"/>
      <w:r w:rsidRPr="002617CF">
        <w:rPr>
          <w:rStyle w:val="Strong"/>
          <w:rFonts w:asciiTheme="minorHAnsi" w:hAnsiTheme="minorHAnsi" w:cs="Arial"/>
          <w:b w:val="0"/>
          <w:color w:val="000000"/>
          <w:szCs w:val="19"/>
          <w:bdr w:val="none" w:sz="0" w:space="0" w:color="auto" w:frame="1"/>
          <w:shd w:val="clear" w:color="auto" w:fill="FFFFFF"/>
        </w:rPr>
        <w:t>. Our performance against this measure has fluctuated, though the smaller numbers of students involved will make this fluctuation more likely.</w:t>
      </w:r>
    </w:p>
    <w:p w14:paraId="4867A7AA" w14:textId="77777777" w:rsidR="002E6CF9" w:rsidRPr="002617CF" w:rsidRDefault="002E6CF9" w:rsidP="00E25D4D">
      <w:pPr>
        <w:rPr>
          <w:rStyle w:val="Strong"/>
          <w:rFonts w:asciiTheme="minorHAnsi" w:hAnsiTheme="minorHAnsi" w:cs="Arial"/>
          <w:b w:val="0"/>
          <w:color w:val="000000"/>
          <w:szCs w:val="19"/>
          <w:bdr w:val="none" w:sz="0" w:space="0" w:color="auto" w:frame="1"/>
          <w:shd w:val="clear" w:color="auto" w:fill="FFFFFF"/>
        </w:rPr>
      </w:pPr>
    </w:p>
    <w:p w14:paraId="4B97FF92" w14:textId="77777777" w:rsidR="00E25D4D" w:rsidRPr="002617CF" w:rsidRDefault="00E25D4D" w:rsidP="00E25D4D">
      <w:pPr>
        <w:rPr>
          <w:rFonts w:asciiTheme="minorHAnsi" w:hAnsiTheme="minorHAnsi"/>
          <w:i/>
        </w:rPr>
      </w:pPr>
      <w:r w:rsidRPr="002617CF">
        <w:rPr>
          <w:rFonts w:asciiTheme="minorHAnsi" w:hAnsiTheme="minorHAnsi"/>
          <w:i/>
        </w:rPr>
        <w:t>Rationale for proposing using these retention measures:</w:t>
      </w:r>
    </w:p>
    <w:p w14:paraId="21346393" w14:textId="77777777" w:rsidR="002E6CF9" w:rsidRPr="002617CF" w:rsidRDefault="002E6CF9" w:rsidP="00E25D4D">
      <w:pPr>
        <w:rPr>
          <w:rFonts w:asciiTheme="minorHAnsi" w:hAnsiTheme="minorHAnsi"/>
          <w:i/>
        </w:rPr>
      </w:pPr>
    </w:p>
    <w:p w14:paraId="71DCC894" w14:textId="77777777" w:rsidR="00E25D4D" w:rsidRPr="002617CF" w:rsidRDefault="00E25D4D" w:rsidP="00E25D4D">
      <w:pPr>
        <w:rPr>
          <w:rStyle w:val="Strong"/>
          <w:rFonts w:asciiTheme="minorHAnsi" w:hAnsiTheme="minorHAnsi" w:cs="Arial"/>
          <w:b w:val="0"/>
          <w:color w:val="000000"/>
          <w:szCs w:val="19"/>
          <w:bdr w:val="none" w:sz="0" w:space="0" w:color="auto" w:frame="1"/>
          <w:shd w:val="clear" w:color="auto" w:fill="FFFFFF"/>
        </w:rPr>
      </w:pPr>
      <w:r w:rsidRPr="002617CF">
        <w:rPr>
          <w:rFonts w:asciiTheme="minorHAnsi" w:hAnsiTheme="minorHAnsi"/>
        </w:rPr>
        <w:t xml:space="preserve">We have not previously had specific retention measures for our WP strategy. Selecting these two measures will allow us to monitor </w:t>
      </w:r>
      <w:r w:rsidRPr="002617CF">
        <w:rPr>
          <w:rStyle w:val="Strong"/>
          <w:rFonts w:asciiTheme="minorHAnsi" w:hAnsiTheme="minorHAnsi" w:cs="Arial"/>
          <w:b w:val="0"/>
          <w:color w:val="000000"/>
          <w:szCs w:val="19"/>
          <w:bdr w:val="none" w:sz="0" w:space="0" w:color="auto" w:frame="1"/>
          <w:shd w:val="clear" w:color="auto" w:fill="FFFFFF"/>
        </w:rPr>
        <w:t>our performance in retaining young students from low participation backgrounds or mature learners with no previous experience of HE (in both cases studying full time), and to benchmark our performance against similar institutions and across UK borders.</w:t>
      </w:r>
    </w:p>
    <w:p w14:paraId="3E07CF3A" w14:textId="77777777" w:rsidR="002E6CF9" w:rsidRPr="002617CF" w:rsidRDefault="002E6CF9" w:rsidP="00E25D4D">
      <w:pPr>
        <w:rPr>
          <w:rStyle w:val="Strong"/>
          <w:rFonts w:asciiTheme="minorHAnsi" w:hAnsiTheme="minorHAnsi" w:cs="Arial"/>
          <w:b w:val="0"/>
          <w:color w:val="000000"/>
          <w:szCs w:val="19"/>
          <w:bdr w:val="none" w:sz="0" w:space="0" w:color="auto" w:frame="1"/>
          <w:shd w:val="clear" w:color="auto" w:fill="FFFFFF"/>
        </w:rPr>
      </w:pPr>
    </w:p>
    <w:p w14:paraId="4CA5A87B" w14:textId="77777777" w:rsidR="00E25D4D" w:rsidRPr="002617CF" w:rsidRDefault="00E25D4D" w:rsidP="00E25D4D">
      <w:pPr>
        <w:rPr>
          <w:rFonts w:asciiTheme="minorHAnsi" w:hAnsiTheme="minorHAnsi"/>
          <w:bCs/>
        </w:rPr>
      </w:pPr>
      <w:r w:rsidRPr="002617CF">
        <w:rPr>
          <w:rFonts w:asciiTheme="minorHAnsi" w:hAnsiTheme="minorHAnsi"/>
        </w:rPr>
        <w:t xml:space="preserve">The WP coordinating group suggested that the progression of part-time students was also monitored, however </w:t>
      </w:r>
      <w:r w:rsidRPr="002617CF">
        <w:rPr>
          <w:rFonts w:asciiTheme="minorHAnsi" w:hAnsiTheme="minorHAnsi"/>
          <w:bCs/>
        </w:rPr>
        <w:t>HESA data non-completions is not available for part-time young students from low participation neighbourhoods or part-time mature students with no previous HE qualification.</w:t>
      </w:r>
    </w:p>
    <w:p w14:paraId="0A3D4A4F" w14:textId="77777777" w:rsidR="002E6CF9" w:rsidRPr="002617CF" w:rsidRDefault="002E6CF9" w:rsidP="00E25D4D">
      <w:pPr>
        <w:rPr>
          <w:rStyle w:val="Strong"/>
          <w:rFonts w:asciiTheme="minorHAnsi" w:hAnsiTheme="minorHAnsi" w:cs="Arial"/>
          <w:b w:val="0"/>
          <w:i/>
          <w:color w:val="000000"/>
          <w:szCs w:val="19"/>
          <w:bdr w:val="none" w:sz="0" w:space="0" w:color="auto" w:frame="1"/>
          <w:shd w:val="clear" w:color="auto" w:fill="FFFFFF"/>
        </w:rPr>
      </w:pPr>
    </w:p>
    <w:p w14:paraId="6C586115" w14:textId="77777777" w:rsidR="00E25D4D" w:rsidRPr="002617CF" w:rsidRDefault="00E25D4D" w:rsidP="00E25D4D">
      <w:pPr>
        <w:rPr>
          <w:rStyle w:val="Strong"/>
          <w:rFonts w:asciiTheme="minorHAnsi" w:hAnsiTheme="minorHAnsi" w:cs="Arial"/>
          <w:i/>
          <w:color w:val="000000"/>
          <w:szCs w:val="19"/>
          <w:bdr w:val="none" w:sz="0" w:space="0" w:color="auto" w:frame="1"/>
          <w:shd w:val="clear" w:color="auto" w:fill="FFFFFF"/>
        </w:rPr>
      </w:pPr>
      <w:r w:rsidRPr="002617CF">
        <w:rPr>
          <w:rStyle w:val="Strong"/>
          <w:rFonts w:asciiTheme="minorHAnsi" w:hAnsiTheme="minorHAnsi" w:cs="Arial"/>
          <w:b w:val="0"/>
          <w:i/>
          <w:color w:val="000000"/>
          <w:szCs w:val="19"/>
          <w:bdr w:val="none" w:sz="0" w:space="0" w:color="auto" w:frame="1"/>
          <w:shd w:val="clear" w:color="auto" w:fill="FFFFFF"/>
        </w:rPr>
        <w:t xml:space="preserve">Table </w:t>
      </w:r>
      <w:proofErr w:type="gramStart"/>
      <w:r w:rsidRPr="002617CF">
        <w:rPr>
          <w:rStyle w:val="Strong"/>
          <w:rFonts w:asciiTheme="minorHAnsi" w:hAnsiTheme="minorHAnsi" w:cs="Arial"/>
          <w:b w:val="0"/>
          <w:i/>
          <w:color w:val="000000"/>
          <w:szCs w:val="19"/>
          <w:bdr w:val="none" w:sz="0" w:space="0" w:color="auto" w:frame="1"/>
          <w:shd w:val="clear" w:color="auto" w:fill="FFFFFF"/>
        </w:rPr>
        <w:t>5</w:t>
      </w:r>
      <w:proofErr w:type="gramEnd"/>
      <w:r w:rsidRPr="002617CF">
        <w:rPr>
          <w:rStyle w:val="Strong"/>
          <w:rFonts w:asciiTheme="minorHAnsi" w:hAnsiTheme="minorHAnsi" w:cs="Arial"/>
          <w:i/>
          <w:color w:val="000000"/>
          <w:szCs w:val="19"/>
          <w:bdr w:val="none" w:sz="0" w:space="0" w:color="auto" w:frame="1"/>
          <w:shd w:val="clear" w:color="auto" w:fill="FFFFFF"/>
        </w:rPr>
        <w:t xml:space="preserve"> </w:t>
      </w:r>
      <w:r w:rsidRPr="002617CF">
        <w:rPr>
          <w:rFonts w:asciiTheme="minorHAnsi" w:hAnsiTheme="minorHAnsi"/>
          <w:i/>
          <w:color w:val="000000"/>
        </w:rPr>
        <w:t>Young full time first degree entrants from low participation neighbourhoods no longer in HE following year of entry</w:t>
      </w:r>
      <w:r w:rsidRPr="002617CF">
        <w:rPr>
          <w:rStyle w:val="Strong"/>
          <w:rFonts w:asciiTheme="minorHAnsi" w:hAnsiTheme="minorHAnsi" w:cs="Arial"/>
          <w:i/>
          <w:color w:val="000000"/>
          <w:szCs w:val="19"/>
          <w:bdr w:val="none" w:sz="0" w:space="0" w:color="auto" w:frame="1"/>
          <w:shd w:val="clear" w:color="auto" w:fill="FFFFFF"/>
        </w:rPr>
        <w:t>.</w:t>
      </w:r>
    </w:p>
    <w:p w14:paraId="15915F2A" w14:textId="77777777" w:rsidR="002E6CF9" w:rsidRPr="002617CF" w:rsidRDefault="002E6CF9" w:rsidP="00E25D4D">
      <w:pPr>
        <w:rPr>
          <w:rStyle w:val="Strong"/>
          <w:rFonts w:asciiTheme="minorHAnsi" w:hAnsiTheme="minorHAnsi" w:cs="Arial"/>
          <w:b w:val="0"/>
          <w:i/>
          <w:color w:val="000000"/>
          <w:szCs w:val="19"/>
          <w:bdr w:val="none" w:sz="0" w:space="0" w:color="auto" w:frame="1"/>
          <w:shd w:val="clear" w:color="auto" w:fill="FFFFFF"/>
        </w:rPr>
      </w:pPr>
    </w:p>
    <w:tbl>
      <w:tblPr>
        <w:tblW w:w="25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1134"/>
        <w:gridCol w:w="1134"/>
      </w:tblGrid>
      <w:tr w:rsidR="00E25D4D" w:rsidRPr="002617CF" w14:paraId="0CFDC086" w14:textId="77777777" w:rsidTr="008D1B9C">
        <w:trPr>
          <w:trHeight w:val="300"/>
        </w:trPr>
        <w:tc>
          <w:tcPr>
            <w:tcW w:w="1403" w:type="pct"/>
            <w:vAlign w:val="center"/>
          </w:tcPr>
          <w:p w14:paraId="04FC7D8B" w14:textId="77777777" w:rsidR="00E25D4D" w:rsidRPr="002617CF" w:rsidRDefault="00E25D4D" w:rsidP="008D1B9C">
            <w:pPr>
              <w:jc w:val="right"/>
              <w:rPr>
                <w:rFonts w:asciiTheme="minorHAnsi" w:hAnsiTheme="minorHAnsi" w:cs="Arial"/>
                <w:color w:val="000000"/>
                <w:sz w:val="18"/>
                <w:szCs w:val="18"/>
              </w:rPr>
            </w:pPr>
          </w:p>
        </w:tc>
        <w:tc>
          <w:tcPr>
            <w:tcW w:w="1095" w:type="pct"/>
            <w:shd w:val="clear" w:color="auto" w:fill="auto"/>
            <w:vAlign w:val="center"/>
            <w:hideMark/>
          </w:tcPr>
          <w:p w14:paraId="6568E236"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CU (%)</w:t>
            </w:r>
          </w:p>
        </w:tc>
        <w:tc>
          <w:tcPr>
            <w:tcW w:w="1251" w:type="pct"/>
            <w:shd w:val="clear" w:color="auto" w:fill="auto"/>
            <w:vAlign w:val="center"/>
            <w:hideMark/>
          </w:tcPr>
          <w:p w14:paraId="03BB0B9C"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 xml:space="preserve">Sector benchmark (%) </w:t>
            </w:r>
          </w:p>
        </w:tc>
        <w:tc>
          <w:tcPr>
            <w:tcW w:w="1251" w:type="pct"/>
            <w:shd w:val="clear" w:color="auto" w:fill="auto"/>
            <w:vAlign w:val="center"/>
            <w:hideMark/>
          </w:tcPr>
          <w:p w14:paraId="39B918EB"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Variance</w:t>
            </w:r>
          </w:p>
        </w:tc>
      </w:tr>
      <w:tr w:rsidR="00E25D4D" w:rsidRPr="002617CF" w14:paraId="5CB6FCBD" w14:textId="77777777" w:rsidTr="008D1B9C">
        <w:trPr>
          <w:trHeight w:val="300"/>
        </w:trPr>
        <w:tc>
          <w:tcPr>
            <w:tcW w:w="1403" w:type="pct"/>
            <w:vAlign w:val="center"/>
          </w:tcPr>
          <w:p w14:paraId="7DCF7D4A"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2009/10</w:t>
            </w:r>
          </w:p>
        </w:tc>
        <w:tc>
          <w:tcPr>
            <w:tcW w:w="1095" w:type="pct"/>
            <w:shd w:val="clear" w:color="auto" w:fill="auto"/>
            <w:vAlign w:val="center"/>
          </w:tcPr>
          <w:p w14:paraId="1C066AF5"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3.9</w:t>
            </w:r>
          </w:p>
        </w:tc>
        <w:tc>
          <w:tcPr>
            <w:tcW w:w="1251" w:type="pct"/>
            <w:shd w:val="clear" w:color="auto" w:fill="auto"/>
            <w:vAlign w:val="center"/>
          </w:tcPr>
          <w:p w14:paraId="3D420236"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5.7</w:t>
            </w:r>
          </w:p>
        </w:tc>
        <w:tc>
          <w:tcPr>
            <w:tcW w:w="1251" w:type="pct"/>
            <w:shd w:val="clear" w:color="auto" w:fill="auto"/>
            <w:vAlign w:val="bottom"/>
          </w:tcPr>
          <w:p w14:paraId="285B96DA"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olor w:val="000000"/>
              </w:rPr>
              <w:t>- 1.8</w:t>
            </w:r>
          </w:p>
        </w:tc>
      </w:tr>
      <w:tr w:rsidR="00E25D4D" w:rsidRPr="002617CF" w14:paraId="1EDAE47A" w14:textId="77777777" w:rsidTr="008D1B9C">
        <w:trPr>
          <w:trHeight w:val="300"/>
        </w:trPr>
        <w:tc>
          <w:tcPr>
            <w:tcW w:w="1403" w:type="pct"/>
            <w:vAlign w:val="center"/>
          </w:tcPr>
          <w:p w14:paraId="730ACCCD"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2010/11</w:t>
            </w:r>
          </w:p>
        </w:tc>
        <w:tc>
          <w:tcPr>
            <w:tcW w:w="1095" w:type="pct"/>
            <w:shd w:val="clear" w:color="auto" w:fill="auto"/>
            <w:vAlign w:val="center"/>
          </w:tcPr>
          <w:p w14:paraId="005FD521"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6.5</w:t>
            </w:r>
          </w:p>
        </w:tc>
        <w:tc>
          <w:tcPr>
            <w:tcW w:w="1251" w:type="pct"/>
            <w:shd w:val="clear" w:color="auto" w:fill="auto"/>
            <w:vAlign w:val="center"/>
          </w:tcPr>
          <w:p w14:paraId="778001D1"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4.7</w:t>
            </w:r>
          </w:p>
        </w:tc>
        <w:tc>
          <w:tcPr>
            <w:tcW w:w="1251" w:type="pct"/>
            <w:shd w:val="clear" w:color="auto" w:fill="auto"/>
            <w:vAlign w:val="bottom"/>
          </w:tcPr>
          <w:p w14:paraId="04D29CED"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olor w:val="000000"/>
              </w:rPr>
              <w:t>1.8</w:t>
            </w:r>
          </w:p>
        </w:tc>
      </w:tr>
      <w:tr w:rsidR="00E25D4D" w:rsidRPr="002617CF" w14:paraId="12D5BAFA" w14:textId="77777777" w:rsidTr="008D1B9C">
        <w:trPr>
          <w:trHeight w:val="300"/>
        </w:trPr>
        <w:tc>
          <w:tcPr>
            <w:tcW w:w="1403" w:type="pct"/>
            <w:vAlign w:val="center"/>
          </w:tcPr>
          <w:p w14:paraId="4E7BCE86"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2011/12</w:t>
            </w:r>
          </w:p>
        </w:tc>
        <w:tc>
          <w:tcPr>
            <w:tcW w:w="1095" w:type="pct"/>
            <w:shd w:val="clear" w:color="auto" w:fill="auto"/>
            <w:vAlign w:val="center"/>
          </w:tcPr>
          <w:p w14:paraId="7EAEB8FA"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4.0</w:t>
            </w:r>
          </w:p>
        </w:tc>
        <w:tc>
          <w:tcPr>
            <w:tcW w:w="1251" w:type="pct"/>
            <w:shd w:val="clear" w:color="auto" w:fill="auto"/>
            <w:vAlign w:val="center"/>
          </w:tcPr>
          <w:p w14:paraId="0FFB47E8"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4.5</w:t>
            </w:r>
          </w:p>
        </w:tc>
        <w:tc>
          <w:tcPr>
            <w:tcW w:w="1251" w:type="pct"/>
            <w:shd w:val="clear" w:color="auto" w:fill="auto"/>
            <w:vAlign w:val="bottom"/>
          </w:tcPr>
          <w:p w14:paraId="36025723"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olor w:val="000000"/>
              </w:rPr>
              <w:t>- 0.5</w:t>
            </w:r>
          </w:p>
        </w:tc>
      </w:tr>
      <w:tr w:rsidR="00E25D4D" w:rsidRPr="002617CF" w14:paraId="551F5734" w14:textId="77777777" w:rsidTr="008D1B9C">
        <w:trPr>
          <w:trHeight w:val="300"/>
        </w:trPr>
        <w:tc>
          <w:tcPr>
            <w:tcW w:w="1403" w:type="pct"/>
            <w:vAlign w:val="center"/>
          </w:tcPr>
          <w:p w14:paraId="2C72B375"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2012/13</w:t>
            </w:r>
          </w:p>
        </w:tc>
        <w:tc>
          <w:tcPr>
            <w:tcW w:w="1095" w:type="pct"/>
            <w:shd w:val="clear" w:color="auto" w:fill="auto"/>
            <w:vAlign w:val="center"/>
          </w:tcPr>
          <w:p w14:paraId="475B508B"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3.8</w:t>
            </w:r>
          </w:p>
        </w:tc>
        <w:tc>
          <w:tcPr>
            <w:tcW w:w="1251" w:type="pct"/>
            <w:shd w:val="clear" w:color="auto" w:fill="auto"/>
            <w:vAlign w:val="center"/>
          </w:tcPr>
          <w:p w14:paraId="152DB173"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4.1</w:t>
            </w:r>
          </w:p>
        </w:tc>
        <w:tc>
          <w:tcPr>
            <w:tcW w:w="1251" w:type="pct"/>
            <w:shd w:val="clear" w:color="auto" w:fill="auto"/>
            <w:vAlign w:val="bottom"/>
          </w:tcPr>
          <w:p w14:paraId="14FD5129"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olor w:val="000000"/>
              </w:rPr>
              <w:t>- 0.3</w:t>
            </w:r>
          </w:p>
        </w:tc>
      </w:tr>
    </w:tbl>
    <w:p w14:paraId="2E614068" w14:textId="77777777" w:rsidR="00E25D4D" w:rsidRPr="002617CF" w:rsidRDefault="00E25D4D" w:rsidP="00E25D4D">
      <w:pPr>
        <w:spacing w:before="60"/>
        <w:rPr>
          <w:rFonts w:asciiTheme="minorHAnsi" w:hAnsiTheme="minorHAnsi" w:cs="Arial"/>
          <w:i/>
          <w:iCs/>
          <w:color w:val="000000"/>
          <w:sz w:val="18"/>
          <w:szCs w:val="18"/>
          <w:lang w:val="fr-FR"/>
        </w:rPr>
      </w:pPr>
      <w:r w:rsidRPr="002617CF">
        <w:rPr>
          <w:rFonts w:asciiTheme="minorHAnsi" w:hAnsiTheme="minorHAnsi" w:cs="Arial"/>
          <w:i/>
          <w:iCs/>
          <w:color w:val="000000"/>
          <w:sz w:val="18"/>
          <w:szCs w:val="18"/>
          <w:lang w:val="fr-FR"/>
        </w:rPr>
        <w:t>HESA WP PI Table T3b</w:t>
      </w:r>
    </w:p>
    <w:p w14:paraId="63F09971" w14:textId="77777777" w:rsidR="00E25D4D" w:rsidRPr="002617CF" w:rsidRDefault="00E25D4D" w:rsidP="00E25D4D">
      <w:pPr>
        <w:rPr>
          <w:rStyle w:val="Strong"/>
          <w:rFonts w:asciiTheme="minorHAnsi" w:hAnsiTheme="minorHAnsi" w:cs="Arial"/>
          <w:b w:val="0"/>
          <w:color w:val="000000"/>
          <w:szCs w:val="19"/>
          <w:bdr w:val="none" w:sz="0" w:space="0" w:color="auto" w:frame="1"/>
          <w:shd w:val="clear" w:color="auto" w:fill="FFFFFF"/>
        </w:rPr>
      </w:pPr>
      <w:r w:rsidRPr="002617CF">
        <w:rPr>
          <w:rFonts w:asciiTheme="minorHAnsi" w:hAnsiTheme="minorHAnsi" w:cs="Arial"/>
          <w:i/>
          <w:iCs/>
          <w:color w:val="000000"/>
          <w:sz w:val="18"/>
          <w:szCs w:val="18"/>
        </w:rPr>
        <w:t xml:space="preserve">POLAR </w:t>
      </w:r>
      <w:proofErr w:type="gramStart"/>
      <w:r w:rsidRPr="002617CF">
        <w:rPr>
          <w:rFonts w:asciiTheme="minorHAnsi" w:hAnsiTheme="minorHAnsi" w:cs="Arial"/>
          <w:i/>
          <w:iCs/>
          <w:color w:val="000000"/>
          <w:sz w:val="18"/>
          <w:szCs w:val="18"/>
        </w:rPr>
        <w:t>3</w:t>
      </w:r>
      <w:proofErr w:type="gramEnd"/>
      <w:r w:rsidRPr="002617CF">
        <w:rPr>
          <w:rFonts w:asciiTheme="minorHAnsi" w:hAnsiTheme="minorHAnsi" w:cs="Arial"/>
          <w:i/>
          <w:iCs/>
          <w:color w:val="000000"/>
          <w:sz w:val="18"/>
          <w:szCs w:val="18"/>
        </w:rPr>
        <w:t xml:space="preserve"> data</w:t>
      </w:r>
    </w:p>
    <w:p w14:paraId="203B5EB7" w14:textId="77777777" w:rsidR="00E25D4D" w:rsidRPr="002617CF" w:rsidRDefault="00E25D4D" w:rsidP="00E25D4D">
      <w:pPr>
        <w:rPr>
          <w:rFonts w:asciiTheme="minorHAnsi" w:hAnsiTheme="minorHAnsi" w:cs="Arial"/>
          <w:i/>
          <w:iCs/>
          <w:color w:val="000000"/>
          <w:sz w:val="18"/>
          <w:szCs w:val="18"/>
        </w:rPr>
      </w:pPr>
      <w:r w:rsidRPr="002617CF">
        <w:rPr>
          <w:rFonts w:asciiTheme="minorHAnsi" w:hAnsiTheme="minorHAnsi" w:cs="Arial"/>
          <w:i/>
          <w:iCs/>
          <w:color w:val="000000"/>
          <w:sz w:val="18"/>
          <w:szCs w:val="18"/>
        </w:rPr>
        <w:t xml:space="preserve">Variance is </w:t>
      </w:r>
      <w:r w:rsidRPr="002617CF">
        <w:rPr>
          <w:rFonts w:asciiTheme="minorHAnsi" w:hAnsiTheme="minorHAnsi" w:cs="Arial"/>
          <w:i/>
          <w:iCs/>
          <w:color w:val="000000"/>
          <w:sz w:val="18"/>
          <w:szCs w:val="18"/>
          <w:u w:val="single"/>
        </w:rPr>
        <w:t>not</w:t>
      </w:r>
      <w:r w:rsidRPr="002617CF">
        <w:rPr>
          <w:rFonts w:asciiTheme="minorHAnsi" w:hAnsiTheme="minorHAnsi" w:cs="Arial"/>
          <w:i/>
          <w:iCs/>
          <w:color w:val="000000"/>
          <w:sz w:val="18"/>
          <w:szCs w:val="18"/>
        </w:rPr>
        <w:t xml:space="preserve"> statistically significant</w:t>
      </w:r>
    </w:p>
    <w:p w14:paraId="20AD6414" w14:textId="77777777" w:rsidR="00E25D4D" w:rsidRPr="002617CF" w:rsidRDefault="00E25D4D" w:rsidP="00E25D4D">
      <w:pPr>
        <w:rPr>
          <w:rStyle w:val="Strong"/>
          <w:rFonts w:asciiTheme="minorHAnsi" w:hAnsiTheme="minorHAnsi" w:cs="Arial"/>
          <w:b w:val="0"/>
          <w:i/>
          <w:color w:val="000000"/>
          <w:szCs w:val="19"/>
          <w:bdr w:val="none" w:sz="0" w:space="0" w:color="auto" w:frame="1"/>
          <w:shd w:val="clear" w:color="auto" w:fill="FFFFFF"/>
        </w:rPr>
      </w:pPr>
    </w:p>
    <w:p w14:paraId="36E525B0" w14:textId="77777777" w:rsidR="00E25D4D" w:rsidRPr="002617CF" w:rsidRDefault="00E25D4D" w:rsidP="00E25D4D">
      <w:pPr>
        <w:rPr>
          <w:rStyle w:val="Strong"/>
          <w:rFonts w:asciiTheme="minorHAnsi" w:hAnsiTheme="minorHAnsi" w:cs="Arial"/>
          <w:b w:val="0"/>
          <w:i/>
          <w:color w:val="000000"/>
          <w:szCs w:val="19"/>
          <w:bdr w:val="none" w:sz="0" w:space="0" w:color="auto" w:frame="1"/>
          <w:shd w:val="clear" w:color="auto" w:fill="FFFFFF"/>
        </w:rPr>
      </w:pPr>
      <w:r w:rsidRPr="002617CF">
        <w:rPr>
          <w:rStyle w:val="Strong"/>
          <w:rFonts w:asciiTheme="minorHAnsi" w:hAnsiTheme="minorHAnsi" w:cs="Arial"/>
          <w:b w:val="0"/>
          <w:i/>
          <w:color w:val="000000"/>
          <w:szCs w:val="19"/>
          <w:bdr w:val="none" w:sz="0" w:space="0" w:color="auto" w:frame="1"/>
          <w:shd w:val="clear" w:color="auto" w:fill="FFFFFF"/>
        </w:rPr>
        <w:t xml:space="preserve">Table </w:t>
      </w:r>
      <w:proofErr w:type="gramStart"/>
      <w:r w:rsidRPr="002617CF">
        <w:rPr>
          <w:rStyle w:val="Strong"/>
          <w:rFonts w:asciiTheme="minorHAnsi" w:hAnsiTheme="minorHAnsi" w:cs="Arial"/>
          <w:b w:val="0"/>
          <w:i/>
          <w:color w:val="000000"/>
          <w:szCs w:val="19"/>
          <w:bdr w:val="none" w:sz="0" w:space="0" w:color="auto" w:frame="1"/>
          <w:shd w:val="clear" w:color="auto" w:fill="FFFFFF"/>
        </w:rPr>
        <w:t>6</w:t>
      </w:r>
      <w:proofErr w:type="gramEnd"/>
      <w:r w:rsidRPr="002617CF">
        <w:rPr>
          <w:rStyle w:val="Strong"/>
          <w:rFonts w:asciiTheme="minorHAnsi" w:hAnsiTheme="minorHAnsi" w:cs="Arial"/>
          <w:i/>
          <w:color w:val="000000"/>
          <w:szCs w:val="19"/>
          <w:bdr w:val="none" w:sz="0" w:space="0" w:color="auto" w:frame="1"/>
          <w:shd w:val="clear" w:color="auto" w:fill="FFFFFF"/>
        </w:rPr>
        <w:t xml:space="preserve"> </w:t>
      </w:r>
      <w:r w:rsidRPr="002617CF">
        <w:rPr>
          <w:rFonts w:asciiTheme="minorHAnsi" w:hAnsiTheme="minorHAnsi"/>
          <w:i/>
        </w:rPr>
        <w:t>Mature full time first degree students with no previous higher education qualification no longer in HE following year of entry</w:t>
      </w:r>
      <w:r w:rsidRPr="002617CF">
        <w:rPr>
          <w:rStyle w:val="Strong"/>
          <w:rFonts w:asciiTheme="minorHAnsi" w:hAnsiTheme="minorHAnsi" w:cs="Arial"/>
          <w:i/>
          <w:color w:val="000000"/>
          <w:szCs w:val="19"/>
          <w:bdr w:val="none" w:sz="0" w:space="0" w:color="auto" w:frame="1"/>
          <w:shd w:val="clear" w:color="auto" w:fill="FFFFFF"/>
        </w:rPr>
        <w:t>.</w:t>
      </w:r>
    </w:p>
    <w:tbl>
      <w:tblPr>
        <w:tblW w:w="25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1134"/>
        <w:gridCol w:w="1134"/>
      </w:tblGrid>
      <w:tr w:rsidR="00E25D4D" w:rsidRPr="002617CF" w14:paraId="0074AB44" w14:textId="77777777" w:rsidTr="008D1B9C">
        <w:trPr>
          <w:trHeight w:val="300"/>
        </w:trPr>
        <w:tc>
          <w:tcPr>
            <w:tcW w:w="1403" w:type="pct"/>
            <w:vAlign w:val="center"/>
          </w:tcPr>
          <w:p w14:paraId="0FE3A349" w14:textId="77777777" w:rsidR="00E25D4D" w:rsidRPr="002617CF" w:rsidRDefault="00E25D4D" w:rsidP="008D1B9C">
            <w:pPr>
              <w:jc w:val="right"/>
              <w:rPr>
                <w:rFonts w:asciiTheme="minorHAnsi" w:hAnsiTheme="minorHAnsi" w:cs="Arial"/>
                <w:color w:val="000000"/>
                <w:sz w:val="18"/>
                <w:szCs w:val="18"/>
              </w:rPr>
            </w:pPr>
          </w:p>
        </w:tc>
        <w:tc>
          <w:tcPr>
            <w:tcW w:w="1095" w:type="pct"/>
            <w:shd w:val="clear" w:color="auto" w:fill="auto"/>
            <w:vAlign w:val="center"/>
            <w:hideMark/>
          </w:tcPr>
          <w:p w14:paraId="2AFBF2E6"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CU (%)</w:t>
            </w:r>
          </w:p>
        </w:tc>
        <w:tc>
          <w:tcPr>
            <w:tcW w:w="1251" w:type="pct"/>
            <w:shd w:val="clear" w:color="auto" w:fill="auto"/>
            <w:vAlign w:val="center"/>
            <w:hideMark/>
          </w:tcPr>
          <w:p w14:paraId="1EA2310E"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 xml:space="preserve">Benchmark (%) </w:t>
            </w:r>
          </w:p>
        </w:tc>
        <w:tc>
          <w:tcPr>
            <w:tcW w:w="1251" w:type="pct"/>
            <w:shd w:val="clear" w:color="auto" w:fill="auto"/>
            <w:vAlign w:val="center"/>
            <w:hideMark/>
          </w:tcPr>
          <w:p w14:paraId="4F40B536"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Variance</w:t>
            </w:r>
          </w:p>
        </w:tc>
      </w:tr>
      <w:tr w:rsidR="00E25D4D" w:rsidRPr="002617CF" w14:paraId="75D9EE74" w14:textId="77777777" w:rsidTr="008D1B9C">
        <w:trPr>
          <w:trHeight w:val="300"/>
        </w:trPr>
        <w:tc>
          <w:tcPr>
            <w:tcW w:w="1403" w:type="pct"/>
            <w:vAlign w:val="center"/>
          </w:tcPr>
          <w:p w14:paraId="16DB1098"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2009/10</w:t>
            </w:r>
          </w:p>
        </w:tc>
        <w:tc>
          <w:tcPr>
            <w:tcW w:w="1095" w:type="pct"/>
            <w:shd w:val="clear" w:color="auto" w:fill="auto"/>
            <w:vAlign w:val="center"/>
          </w:tcPr>
          <w:p w14:paraId="6D18563B"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12.9</w:t>
            </w:r>
          </w:p>
        </w:tc>
        <w:tc>
          <w:tcPr>
            <w:tcW w:w="1251" w:type="pct"/>
            <w:shd w:val="clear" w:color="auto" w:fill="auto"/>
            <w:vAlign w:val="center"/>
          </w:tcPr>
          <w:p w14:paraId="59B117EC"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12.7</w:t>
            </w:r>
          </w:p>
        </w:tc>
        <w:tc>
          <w:tcPr>
            <w:tcW w:w="1251" w:type="pct"/>
            <w:shd w:val="clear" w:color="auto" w:fill="auto"/>
            <w:vAlign w:val="bottom"/>
          </w:tcPr>
          <w:p w14:paraId="79EF8BFA"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olor w:val="000000"/>
              </w:rPr>
              <w:t>0.2</w:t>
            </w:r>
          </w:p>
        </w:tc>
      </w:tr>
      <w:tr w:rsidR="00E25D4D" w:rsidRPr="002617CF" w14:paraId="472079B1" w14:textId="77777777" w:rsidTr="008D1B9C">
        <w:trPr>
          <w:trHeight w:val="300"/>
        </w:trPr>
        <w:tc>
          <w:tcPr>
            <w:tcW w:w="1403" w:type="pct"/>
            <w:vAlign w:val="center"/>
          </w:tcPr>
          <w:p w14:paraId="449DC310"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2010/11</w:t>
            </w:r>
          </w:p>
        </w:tc>
        <w:tc>
          <w:tcPr>
            <w:tcW w:w="1095" w:type="pct"/>
            <w:shd w:val="clear" w:color="auto" w:fill="auto"/>
            <w:vAlign w:val="center"/>
          </w:tcPr>
          <w:p w14:paraId="73511E71"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8.3</w:t>
            </w:r>
          </w:p>
        </w:tc>
        <w:tc>
          <w:tcPr>
            <w:tcW w:w="1251" w:type="pct"/>
            <w:shd w:val="clear" w:color="auto" w:fill="auto"/>
            <w:vAlign w:val="center"/>
          </w:tcPr>
          <w:p w14:paraId="0A09C8E5"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10.4</w:t>
            </w:r>
          </w:p>
        </w:tc>
        <w:tc>
          <w:tcPr>
            <w:tcW w:w="1251" w:type="pct"/>
            <w:shd w:val="clear" w:color="auto" w:fill="auto"/>
            <w:vAlign w:val="bottom"/>
          </w:tcPr>
          <w:p w14:paraId="346CA5C6"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olor w:val="000000"/>
              </w:rPr>
              <w:t>- 2.1</w:t>
            </w:r>
          </w:p>
        </w:tc>
      </w:tr>
      <w:tr w:rsidR="00E25D4D" w:rsidRPr="002617CF" w14:paraId="541CC6BC" w14:textId="77777777" w:rsidTr="008D1B9C">
        <w:trPr>
          <w:trHeight w:val="300"/>
        </w:trPr>
        <w:tc>
          <w:tcPr>
            <w:tcW w:w="1403" w:type="pct"/>
            <w:vAlign w:val="center"/>
          </w:tcPr>
          <w:p w14:paraId="43E95032"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2011/12</w:t>
            </w:r>
          </w:p>
        </w:tc>
        <w:tc>
          <w:tcPr>
            <w:tcW w:w="1095" w:type="pct"/>
            <w:shd w:val="clear" w:color="auto" w:fill="auto"/>
            <w:vAlign w:val="center"/>
          </w:tcPr>
          <w:p w14:paraId="68B66049"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5.6</w:t>
            </w:r>
          </w:p>
        </w:tc>
        <w:tc>
          <w:tcPr>
            <w:tcW w:w="1251" w:type="pct"/>
            <w:shd w:val="clear" w:color="auto" w:fill="auto"/>
            <w:vAlign w:val="center"/>
          </w:tcPr>
          <w:p w14:paraId="3798AD5B"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9.9</w:t>
            </w:r>
          </w:p>
        </w:tc>
        <w:tc>
          <w:tcPr>
            <w:tcW w:w="1251" w:type="pct"/>
            <w:shd w:val="clear" w:color="auto" w:fill="auto"/>
            <w:vAlign w:val="bottom"/>
          </w:tcPr>
          <w:p w14:paraId="773F57EB"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olor w:val="000000"/>
              </w:rPr>
              <w:t>- 4.3</w:t>
            </w:r>
          </w:p>
        </w:tc>
      </w:tr>
      <w:tr w:rsidR="00E25D4D" w:rsidRPr="002617CF" w14:paraId="311C673F" w14:textId="77777777" w:rsidTr="008D1B9C">
        <w:trPr>
          <w:trHeight w:val="300"/>
        </w:trPr>
        <w:tc>
          <w:tcPr>
            <w:tcW w:w="1403" w:type="pct"/>
            <w:vAlign w:val="center"/>
          </w:tcPr>
          <w:p w14:paraId="6F00F794"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2012/13</w:t>
            </w:r>
          </w:p>
        </w:tc>
        <w:tc>
          <w:tcPr>
            <w:tcW w:w="1095" w:type="pct"/>
            <w:shd w:val="clear" w:color="auto" w:fill="auto"/>
            <w:vAlign w:val="center"/>
          </w:tcPr>
          <w:p w14:paraId="1326EE71"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8.0</w:t>
            </w:r>
          </w:p>
        </w:tc>
        <w:tc>
          <w:tcPr>
            <w:tcW w:w="1251" w:type="pct"/>
            <w:shd w:val="clear" w:color="auto" w:fill="auto"/>
            <w:vAlign w:val="center"/>
          </w:tcPr>
          <w:p w14:paraId="57961A53"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s="Arial"/>
                <w:color w:val="000000"/>
                <w:sz w:val="18"/>
                <w:szCs w:val="18"/>
              </w:rPr>
              <w:t>11.8</w:t>
            </w:r>
          </w:p>
        </w:tc>
        <w:tc>
          <w:tcPr>
            <w:tcW w:w="1251" w:type="pct"/>
            <w:shd w:val="clear" w:color="auto" w:fill="auto"/>
            <w:vAlign w:val="bottom"/>
          </w:tcPr>
          <w:p w14:paraId="347CC19D" w14:textId="77777777" w:rsidR="00E25D4D" w:rsidRPr="002617CF" w:rsidRDefault="00E25D4D" w:rsidP="008D1B9C">
            <w:pPr>
              <w:jc w:val="right"/>
              <w:rPr>
                <w:rFonts w:asciiTheme="minorHAnsi" w:hAnsiTheme="minorHAnsi" w:cs="Arial"/>
                <w:color w:val="000000"/>
                <w:sz w:val="18"/>
                <w:szCs w:val="18"/>
              </w:rPr>
            </w:pPr>
            <w:r w:rsidRPr="002617CF">
              <w:rPr>
                <w:rFonts w:asciiTheme="minorHAnsi" w:hAnsiTheme="minorHAnsi"/>
                <w:color w:val="000000"/>
              </w:rPr>
              <w:t>- 3.8</w:t>
            </w:r>
          </w:p>
        </w:tc>
      </w:tr>
    </w:tbl>
    <w:p w14:paraId="29B1B31B" w14:textId="77777777" w:rsidR="00E25D4D" w:rsidRPr="002617CF" w:rsidRDefault="00E25D4D" w:rsidP="00E25D4D">
      <w:pPr>
        <w:spacing w:before="60"/>
        <w:rPr>
          <w:rStyle w:val="Strong"/>
          <w:rFonts w:asciiTheme="minorHAnsi" w:hAnsiTheme="minorHAnsi" w:cs="Arial"/>
          <w:b w:val="0"/>
          <w:color w:val="000000"/>
          <w:szCs w:val="19"/>
          <w:bdr w:val="none" w:sz="0" w:space="0" w:color="auto" w:frame="1"/>
          <w:shd w:val="clear" w:color="auto" w:fill="FFFFFF"/>
          <w:lang w:val="fr-FR"/>
        </w:rPr>
      </w:pPr>
      <w:r w:rsidRPr="002617CF">
        <w:rPr>
          <w:rFonts w:asciiTheme="minorHAnsi" w:hAnsiTheme="minorHAnsi" w:cs="Arial"/>
          <w:i/>
          <w:iCs/>
          <w:color w:val="000000"/>
          <w:sz w:val="18"/>
          <w:szCs w:val="18"/>
          <w:lang w:val="fr-FR"/>
        </w:rPr>
        <w:t>HESA WP PI Table T3c</w:t>
      </w:r>
    </w:p>
    <w:p w14:paraId="2130D6C5" w14:textId="77777777" w:rsidR="00E25D4D" w:rsidRPr="002617CF" w:rsidRDefault="00E25D4D" w:rsidP="00E25D4D">
      <w:pPr>
        <w:rPr>
          <w:rStyle w:val="Strong"/>
          <w:rFonts w:asciiTheme="minorHAnsi" w:hAnsiTheme="minorHAnsi" w:cs="Arial"/>
          <w:b w:val="0"/>
          <w:color w:val="000000"/>
          <w:szCs w:val="19"/>
          <w:bdr w:val="none" w:sz="0" w:space="0" w:color="auto" w:frame="1"/>
          <w:shd w:val="clear" w:color="auto" w:fill="FFFFFF"/>
        </w:rPr>
      </w:pPr>
      <w:r w:rsidRPr="002617CF">
        <w:rPr>
          <w:rFonts w:asciiTheme="minorHAnsi" w:hAnsiTheme="minorHAnsi" w:cs="Arial"/>
          <w:i/>
          <w:iCs/>
          <w:color w:val="000000"/>
          <w:sz w:val="18"/>
          <w:szCs w:val="18"/>
        </w:rPr>
        <w:t xml:space="preserve">POLAR </w:t>
      </w:r>
      <w:proofErr w:type="gramStart"/>
      <w:r w:rsidRPr="002617CF">
        <w:rPr>
          <w:rFonts w:asciiTheme="minorHAnsi" w:hAnsiTheme="minorHAnsi" w:cs="Arial"/>
          <w:i/>
          <w:iCs/>
          <w:color w:val="000000"/>
          <w:sz w:val="18"/>
          <w:szCs w:val="18"/>
        </w:rPr>
        <w:t>3</w:t>
      </w:r>
      <w:proofErr w:type="gramEnd"/>
      <w:r w:rsidRPr="002617CF">
        <w:rPr>
          <w:rFonts w:asciiTheme="minorHAnsi" w:hAnsiTheme="minorHAnsi" w:cs="Arial"/>
          <w:i/>
          <w:iCs/>
          <w:color w:val="000000"/>
          <w:sz w:val="18"/>
          <w:szCs w:val="18"/>
        </w:rPr>
        <w:t xml:space="preserve"> data</w:t>
      </w:r>
    </w:p>
    <w:p w14:paraId="69AC13BD" w14:textId="77777777" w:rsidR="00E25D4D" w:rsidRPr="002617CF" w:rsidRDefault="00E25D4D" w:rsidP="00E25D4D">
      <w:pPr>
        <w:rPr>
          <w:rFonts w:asciiTheme="minorHAnsi" w:hAnsiTheme="minorHAnsi" w:cs="Arial"/>
          <w:i/>
          <w:iCs/>
          <w:color w:val="000000"/>
          <w:sz w:val="18"/>
          <w:szCs w:val="18"/>
        </w:rPr>
      </w:pPr>
      <w:r w:rsidRPr="002617CF">
        <w:rPr>
          <w:rFonts w:asciiTheme="minorHAnsi" w:hAnsiTheme="minorHAnsi" w:cs="Arial"/>
          <w:i/>
          <w:iCs/>
          <w:color w:val="000000"/>
          <w:sz w:val="18"/>
          <w:szCs w:val="18"/>
        </w:rPr>
        <w:t xml:space="preserve">Variance is </w:t>
      </w:r>
      <w:r w:rsidRPr="002617CF">
        <w:rPr>
          <w:rFonts w:asciiTheme="minorHAnsi" w:hAnsiTheme="minorHAnsi" w:cs="Arial"/>
          <w:i/>
          <w:iCs/>
          <w:color w:val="000000"/>
          <w:sz w:val="18"/>
          <w:szCs w:val="18"/>
          <w:u w:val="single"/>
        </w:rPr>
        <w:t>not</w:t>
      </w:r>
      <w:r w:rsidRPr="002617CF">
        <w:rPr>
          <w:rFonts w:asciiTheme="minorHAnsi" w:hAnsiTheme="minorHAnsi" w:cs="Arial"/>
          <w:i/>
          <w:iCs/>
          <w:color w:val="000000"/>
          <w:sz w:val="18"/>
          <w:szCs w:val="18"/>
        </w:rPr>
        <w:t xml:space="preserve"> statistically significant</w:t>
      </w:r>
    </w:p>
    <w:p w14:paraId="097E2124" w14:textId="77777777" w:rsidR="00E25D4D" w:rsidRPr="002617CF" w:rsidRDefault="00E25D4D" w:rsidP="00E25D4D">
      <w:pPr>
        <w:rPr>
          <w:rFonts w:asciiTheme="minorHAnsi" w:hAnsiTheme="minorHAnsi" w:cs="Arial"/>
          <w:i/>
          <w:iCs/>
          <w:color w:val="000000"/>
          <w:sz w:val="18"/>
          <w:szCs w:val="18"/>
        </w:rPr>
      </w:pPr>
    </w:p>
    <w:p w14:paraId="46CA0FA2" w14:textId="77777777" w:rsidR="002E6CF9" w:rsidRPr="00C93E78" w:rsidRDefault="00E25D4D" w:rsidP="002E6CF9">
      <w:pPr>
        <w:rPr>
          <w:rStyle w:val="Strong"/>
          <w:rFonts w:asciiTheme="minorHAnsi" w:hAnsiTheme="minorHAnsi" w:cs="Arial"/>
          <w:b w:val="0"/>
          <w:color w:val="000000"/>
          <w:sz w:val="22"/>
          <w:szCs w:val="19"/>
          <w:u w:val="single"/>
          <w:bdr w:val="none" w:sz="0" w:space="0" w:color="auto" w:frame="1"/>
          <w:shd w:val="clear" w:color="auto" w:fill="FFFFFF"/>
        </w:rPr>
      </w:pPr>
      <w:r w:rsidRPr="00C93E78">
        <w:rPr>
          <w:rStyle w:val="Strong"/>
          <w:rFonts w:asciiTheme="minorHAnsi" w:hAnsiTheme="minorHAnsi" w:cs="Arial"/>
          <w:b w:val="0"/>
          <w:color w:val="000000"/>
          <w:sz w:val="22"/>
          <w:szCs w:val="19"/>
          <w:u w:val="single"/>
          <w:bdr w:val="none" w:sz="0" w:space="0" w:color="auto" w:frame="1"/>
          <w:shd w:val="clear" w:color="auto" w:fill="FFFFFF"/>
        </w:rPr>
        <w:t>Benchmark year for indicators</w:t>
      </w:r>
    </w:p>
    <w:p w14:paraId="50C6A479" w14:textId="77777777" w:rsidR="002E6CF9" w:rsidRPr="00C93E78" w:rsidRDefault="002E6CF9" w:rsidP="002E6CF9">
      <w:pPr>
        <w:rPr>
          <w:rStyle w:val="Strong"/>
          <w:rFonts w:asciiTheme="minorHAnsi" w:hAnsiTheme="minorHAnsi" w:cs="Arial"/>
          <w:b w:val="0"/>
          <w:color w:val="000000"/>
          <w:sz w:val="22"/>
          <w:szCs w:val="19"/>
          <w:u w:val="single"/>
          <w:bdr w:val="none" w:sz="0" w:space="0" w:color="auto" w:frame="1"/>
          <w:shd w:val="clear" w:color="auto" w:fill="FFFFFF"/>
        </w:rPr>
      </w:pPr>
    </w:p>
    <w:p w14:paraId="6FA0A200" w14:textId="77777777" w:rsidR="00E25D4D" w:rsidRPr="00C93E78" w:rsidRDefault="00E25D4D" w:rsidP="00E25D4D">
      <w:pPr>
        <w:rPr>
          <w:rStyle w:val="Strong"/>
          <w:rFonts w:asciiTheme="minorHAnsi" w:hAnsiTheme="minorHAnsi" w:cs="Arial"/>
          <w:b w:val="0"/>
          <w:color w:val="000000"/>
          <w:sz w:val="22"/>
          <w:szCs w:val="19"/>
          <w:bdr w:val="none" w:sz="0" w:space="0" w:color="auto" w:frame="1"/>
          <w:shd w:val="clear" w:color="auto" w:fill="FFFFFF"/>
        </w:rPr>
      </w:pPr>
      <w:r w:rsidRPr="00C93E78">
        <w:rPr>
          <w:rStyle w:val="Strong"/>
          <w:rFonts w:asciiTheme="minorHAnsi" w:hAnsiTheme="minorHAnsi" w:cs="Arial"/>
          <w:b w:val="0"/>
          <w:color w:val="000000"/>
          <w:sz w:val="22"/>
          <w:szCs w:val="19"/>
          <w:bdr w:val="none" w:sz="0" w:space="0" w:color="auto" w:frame="1"/>
          <w:shd w:val="clear" w:color="auto" w:fill="FFFFFF"/>
        </w:rPr>
        <w:t xml:space="preserve">For all of the proposed measures/indicators our benchmark year will be 2014/15; the last year for which we have HESA data available at the time of finalising our WP </w:t>
      </w:r>
      <w:proofErr w:type="gramStart"/>
      <w:r w:rsidRPr="00C93E78">
        <w:rPr>
          <w:rStyle w:val="Strong"/>
          <w:rFonts w:asciiTheme="minorHAnsi" w:hAnsiTheme="minorHAnsi" w:cs="Arial"/>
          <w:b w:val="0"/>
          <w:color w:val="000000"/>
          <w:sz w:val="22"/>
          <w:szCs w:val="19"/>
          <w:bdr w:val="none" w:sz="0" w:space="0" w:color="auto" w:frame="1"/>
          <w:shd w:val="clear" w:color="auto" w:fill="FFFFFF"/>
        </w:rPr>
        <w:t>strategy and fee</w:t>
      </w:r>
      <w:proofErr w:type="gramEnd"/>
      <w:r w:rsidRPr="00C93E78">
        <w:rPr>
          <w:rStyle w:val="Strong"/>
          <w:rFonts w:asciiTheme="minorHAnsi" w:hAnsiTheme="minorHAnsi" w:cs="Arial"/>
          <w:b w:val="0"/>
          <w:color w:val="000000"/>
          <w:sz w:val="22"/>
          <w:szCs w:val="19"/>
          <w:bdr w:val="none" w:sz="0" w:space="0" w:color="auto" w:frame="1"/>
          <w:shd w:val="clear" w:color="auto" w:fill="FFFFFF"/>
        </w:rPr>
        <w:t xml:space="preserve"> and access plan.</w:t>
      </w:r>
    </w:p>
    <w:p w14:paraId="0073D75C" w14:textId="77777777" w:rsidR="00C93E78" w:rsidRDefault="00C93E78" w:rsidP="00E25D4D">
      <w:pPr>
        <w:rPr>
          <w:rFonts w:asciiTheme="minorHAnsi" w:hAnsiTheme="minorHAnsi"/>
        </w:rPr>
      </w:pPr>
    </w:p>
    <w:p w14:paraId="7719938C" w14:textId="77777777" w:rsidR="00C93E78" w:rsidRPr="002617CF" w:rsidRDefault="00C93E78" w:rsidP="00C93E78">
      <w:pPr>
        <w:keepNext/>
        <w:numPr>
          <w:ilvl w:val="0"/>
          <w:numId w:val="12"/>
        </w:numPr>
        <w:spacing w:before="360" w:after="160" w:line="259" w:lineRule="auto"/>
        <w:ind w:left="426" w:hanging="426"/>
        <w:contextualSpacing/>
        <w:rPr>
          <w:rFonts w:asciiTheme="minorHAnsi" w:eastAsiaTheme="minorHAnsi" w:hAnsiTheme="minorHAnsi" w:cstheme="minorBidi"/>
          <w:b/>
          <w:sz w:val="22"/>
          <w:szCs w:val="22"/>
          <w:lang w:eastAsia="en-US"/>
        </w:rPr>
      </w:pPr>
      <w:r w:rsidRPr="002617CF">
        <w:rPr>
          <w:rFonts w:asciiTheme="minorHAnsi" w:eastAsiaTheme="minorHAnsi" w:hAnsiTheme="minorHAnsi" w:cstheme="minorBidi"/>
          <w:b/>
          <w:sz w:val="22"/>
          <w:szCs w:val="22"/>
          <w:lang w:eastAsia="en-US"/>
        </w:rPr>
        <w:t>Vulnerable groups</w:t>
      </w:r>
      <w:r w:rsidRPr="002617CF">
        <w:rPr>
          <w:rStyle w:val="FootnoteReference"/>
          <w:rFonts w:asciiTheme="minorHAnsi" w:eastAsiaTheme="minorHAnsi" w:hAnsiTheme="minorHAnsi" w:cstheme="minorBidi"/>
          <w:b/>
          <w:sz w:val="22"/>
          <w:szCs w:val="22"/>
          <w:lang w:eastAsia="en-US"/>
        </w:rPr>
        <w:footnoteReference w:customMarkFollows="1" w:id="7"/>
        <w:t>4</w:t>
      </w:r>
    </w:p>
    <w:p w14:paraId="2B3E6BBB" w14:textId="77777777" w:rsidR="00C93E78" w:rsidRDefault="00C93E78" w:rsidP="00C93E78">
      <w:pPr>
        <w:spacing w:line="259" w:lineRule="auto"/>
        <w:rPr>
          <w:rFonts w:asciiTheme="minorHAnsi" w:eastAsiaTheme="minorHAnsi" w:hAnsiTheme="minorHAnsi" w:cstheme="minorBidi"/>
          <w:sz w:val="22"/>
          <w:szCs w:val="22"/>
          <w:lang w:eastAsia="en-US"/>
        </w:rPr>
      </w:pPr>
      <w:r w:rsidRPr="002617CF">
        <w:rPr>
          <w:rFonts w:asciiTheme="minorHAnsi" w:eastAsiaTheme="minorHAnsi" w:hAnsiTheme="minorHAnsi" w:cstheme="minorBidi"/>
          <w:sz w:val="22"/>
          <w:szCs w:val="22"/>
          <w:lang w:eastAsia="en-US"/>
        </w:rPr>
        <w:t xml:space="preserve">We commit to continuing to remove barriers to students from vulnerable groups accessing </w:t>
      </w:r>
      <w:proofErr w:type="gramStart"/>
      <w:r w:rsidRPr="002617CF">
        <w:rPr>
          <w:rFonts w:asciiTheme="minorHAnsi" w:eastAsiaTheme="minorHAnsi" w:hAnsiTheme="minorHAnsi" w:cstheme="minorBidi"/>
          <w:sz w:val="22"/>
          <w:szCs w:val="22"/>
          <w:lang w:eastAsia="en-US"/>
        </w:rPr>
        <w:t>HE</w:t>
      </w:r>
      <w:proofErr w:type="gramEnd"/>
      <w:r w:rsidRPr="002617CF">
        <w:rPr>
          <w:rFonts w:asciiTheme="minorHAnsi" w:eastAsiaTheme="minorHAnsi" w:hAnsiTheme="minorHAnsi" w:cstheme="minorBidi"/>
          <w:sz w:val="22"/>
          <w:szCs w:val="22"/>
          <w:lang w:eastAsia="en-US"/>
        </w:rPr>
        <w:t>, succeeding once here and going into further study or good employment. We will review our evidence to focus our actions within discipline areas and in Schools that our evidence indicates have the best opportunity to improve.</w:t>
      </w:r>
    </w:p>
    <w:p w14:paraId="14B7AC58" w14:textId="77777777" w:rsidR="00C93E78" w:rsidRDefault="00C93E78" w:rsidP="00C93E78">
      <w:pPr>
        <w:spacing w:line="259" w:lineRule="auto"/>
        <w:rPr>
          <w:rFonts w:asciiTheme="minorHAnsi" w:eastAsiaTheme="minorHAnsi" w:hAnsiTheme="minorHAnsi" w:cstheme="minorBidi"/>
          <w:sz w:val="22"/>
          <w:szCs w:val="22"/>
          <w:lang w:eastAsia="en-US"/>
        </w:rPr>
      </w:pPr>
    </w:p>
    <w:p w14:paraId="655B636A" w14:textId="77777777" w:rsidR="00C93E78" w:rsidRPr="002617CF" w:rsidRDefault="00C93E78" w:rsidP="00C93E78">
      <w:pPr>
        <w:spacing w:line="259" w:lineRule="auto"/>
        <w:rPr>
          <w:rFonts w:asciiTheme="minorHAnsi" w:eastAsiaTheme="minorHAnsi" w:hAnsiTheme="minorHAnsi" w:cstheme="minorBidi"/>
          <w:sz w:val="22"/>
          <w:szCs w:val="22"/>
          <w:lang w:eastAsia="en-US"/>
        </w:rPr>
      </w:pPr>
      <w:r w:rsidRPr="002617CF">
        <w:rPr>
          <w:rFonts w:asciiTheme="minorHAnsi" w:eastAsiaTheme="minorHAnsi" w:hAnsiTheme="minorHAnsi" w:cstheme="minorBidi"/>
          <w:sz w:val="22"/>
          <w:szCs w:val="22"/>
          <w:lang w:eastAsia="en-US"/>
        </w:rPr>
        <w:t xml:space="preserve">We do not wish to set ourselves recruitment targets for these groups because we want to remove barriers to entry and ensure the success for </w:t>
      </w:r>
      <w:r w:rsidRPr="002617CF">
        <w:rPr>
          <w:rFonts w:asciiTheme="minorHAnsi" w:eastAsiaTheme="minorHAnsi" w:hAnsiTheme="minorHAnsi" w:cstheme="minorBidi"/>
          <w:i/>
          <w:sz w:val="22"/>
          <w:szCs w:val="22"/>
          <w:lang w:eastAsia="en-US"/>
        </w:rPr>
        <w:t>all</w:t>
      </w:r>
      <w:r w:rsidRPr="002617CF">
        <w:rPr>
          <w:rFonts w:asciiTheme="minorHAnsi" w:eastAsiaTheme="minorHAnsi" w:hAnsiTheme="minorHAnsi" w:cstheme="minorBidi"/>
          <w:sz w:val="22"/>
          <w:szCs w:val="22"/>
          <w:lang w:eastAsia="en-US"/>
        </w:rPr>
        <w:t xml:space="preserve"> groups of students, whereas targets for only </w:t>
      </w:r>
      <w:r w:rsidRPr="002617CF">
        <w:rPr>
          <w:rFonts w:asciiTheme="minorHAnsi" w:eastAsiaTheme="minorHAnsi" w:hAnsiTheme="minorHAnsi" w:cstheme="minorBidi"/>
          <w:i/>
          <w:sz w:val="22"/>
          <w:szCs w:val="22"/>
          <w:lang w:eastAsia="en-US"/>
        </w:rPr>
        <w:t>some</w:t>
      </w:r>
      <w:r w:rsidRPr="002617CF">
        <w:rPr>
          <w:rFonts w:asciiTheme="minorHAnsi" w:eastAsiaTheme="minorHAnsi" w:hAnsiTheme="minorHAnsi" w:cstheme="minorBidi"/>
          <w:sz w:val="22"/>
          <w:szCs w:val="22"/>
          <w:lang w:eastAsia="en-US"/>
        </w:rPr>
        <w:t xml:space="preserve"> of the groups would not reflect this broader aim. In addition, the numbers of students involved are small. </w:t>
      </w:r>
      <w:proofErr w:type="gramStart"/>
      <w:r w:rsidRPr="002617CF">
        <w:rPr>
          <w:rFonts w:asciiTheme="minorHAnsi" w:eastAsiaTheme="minorHAnsi" w:hAnsiTheme="minorHAnsi" w:cstheme="minorBidi"/>
          <w:sz w:val="22"/>
          <w:szCs w:val="22"/>
          <w:lang w:eastAsia="en-US"/>
        </w:rPr>
        <w:t>Therefore</w:t>
      </w:r>
      <w:proofErr w:type="gramEnd"/>
      <w:r w:rsidRPr="002617CF">
        <w:rPr>
          <w:rFonts w:asciiTheme="minorHAnsi" w:eastAsiaTheme="minorHAnsi" w:hAnsiTheme="minorHAnsi" w:cstheme="minorBidi"/>
          <w:sz w:val="22"/>
          <w:szCs w:val="22"/>
          <w:lang w:eastAsia="en-US"/>
        </w:rPr>
        <w:t xml:space="preserve"> normal statistical variation would mean that monitoring progress would be difficult.</w:t>
      </w:r>
    </w:p>
    <w:p w14:paraId="7E01C33A" w14:textId="77777777" w:rsidR="00C93E78" w:rsidRDefault="00C93E78" w:rsidP="00C93E78">
      <w:pPr>
        <w:keepNext/>
        <w:rPr>
          <w:rFonts w:asciiTheme="minorHAnsi" w:hAnsiTheme="minorHAnsi"/>
          <w:sz w:val="22"/>
        </w:rPr>
      </w:pPr>
    </w:p>
    <w:p w14:paraId="24AB9397" w14:textId="77777777" w:rsidR="00C93E78" w:rsidRPr="002617CF" w:rsidRDefault="00C93E78" w:rsidP="00C93E78">
      <w:pPr>
        <w:keepNext/>
        <w:rPr>
          <w:rFonts w:asciiTheme="minorHAnsi" w:hAnsiTheme="minorHAnsi"/>
          <w:sz w:val="22"/>
        </w:rPr>
      </w:pPr>
      <w:r w:rsidRPr="002617CF">
        <w:rPr>
          <w:rFonts w:asciiTheme="minorHAnsi" w:hAnsiTheme="minorHAnsi"/>
          <w:sz w:val="22"/>
        </w:rPr>
        <w:t>One way we will measure our success is through successful delivery of the work experience programme as part of HEFCW’s GO Wales project, to reduce the number of students leaving HE who are at risk of becoming ‘Not in Education, Employment or Training’ (NEET). The target cohort is</w:t>
      </w:r>
      <w:r>
        <w:rPr>
          <w:rFonts w:asciiTheme="minorHAnsi" w:hAnsiTheme="minorHAnsi"/>
          <w:sz w:val="22"/>
        </w:rPr>
        <w:t xml:space="preserve"> s</w:t>
      </w:r>
      <w:r w:rsidRPr="002617CF">
        <w:rPr>
          <w:rFonts w:asciiTheme="minorHAnsi" w:hAnsiTheme="minorHAnsi"/>
          <w:sz w:val="22"/>
        </w:rPr>
        <w:t>tudents aged 18 to 24 years who are at risk of becoming NEET because they face particular barriers to</w:t>
      </w:r>
      <w:r>
        <w:rPr>
          <w:rFonts w:asciiTheme="minorHAnsi" w:hAnsiTheme="minorHAnsi"/>
          <w:sz w:val="22"/>
        </w:rPr>
        <w:t xml:space="preserve"> employment.  Barriers include:</w:t>
      </w:r>
    </w:p>
    <w:p w14:paraId="6549C3B9" w14:textId="77777777" w:rsidR="00C93E78" w:rsidRPr="00C93E78" w:rsidRDefault="00C93E78" w:rsidP="00C93E78">
      <w:pPr>
        <w:keepNext/>
        <w:ind w:left="720"/>
        <w:rPr>
          <w:rFonts w:asciiTheme="minorHAnsi" w:hAnsiTheme="minorHAnsi"/>
          <w:sz w:val="22"/>
        </w:rPr>
      </w:pPr>
      <w:r w:rsidRPr="00C93E78">
        <w:rPr>
          <w:rFonts w:asciiTheme="minorHAnsi" w:hAnsiTheme="minorHAnsi"/>
          <w:sz w:val="22"/>
        </w:rPr>
        <w:t xml:space="preserve">• </w:t>
      </w:r>
      <w:proofErr w:type="gramStart"/>
      <w:r w:rsidRPr="00C93E78">
        <w:rPr>
          <w:rFonts w:asciiTheme="minorHAnsi" w:hAnsiTheme="minorHAnsi"/>
          <w:sz w:val="22"/>
        </w:rPr>
        <w:t>disabilities</w:t>
      </w:r>
      <w:proofErr w:type="gramEnd"/>
      <w:r w:rsidRPr="00C93E78">
        <w:rPr>
          <w:rFonts w:asciiTheme="minorHAnsi" w:hAnsiTheme="minorHAnsi"/>
          <w:sz w:val="22"/>
        </w:rPr>
        <w:t xml:space="preserve"> or work limiting health conditions</w:t>
      </w:r>
    </w:p>
    <w:p w14:paraId="59E66F11" w14:textId="77777777" w:rsidR="00C93E78" w:rsidRPr="00C93E78" w:rsidRDefault="00C93E78" w:rsidP="00C93E78">
      <w:pPr>
        <w:keepNext/>
        <w:ind w:left="720"/>
        <w:rPr>
          <w:rFonts w:asciiTheme="minorHAnsi" w:hAnsiTheme="minorHAnsi"/>
          <w:sz w:val="22"/>
        </w:rPr>
      </w:pPr>
      <w:r w:rsidRPr="00C93E78">
        <w:rPr>
          <w:rFonts w:asciiTheme="minorHAnsi" w:hAnsiTheme="minorHAnsi"/>
          <w:sz w:val="22"/>
        </w:rPr>
        <w:t>• BME backgrounds</w:t>
      </w:r>
    </w:p>
    <w:p w14:paraId="783FB75D" w14:textId="77777777" w:rsidR="00C93E78" w:rsidRPr="00C93E78" w:rsidRDefault="00C93E78" w:rsidP="00C93E78">
      <w:pPr>
        <w:keepNext/>
        <w:ind w:left="720"/>
        <w:rPr>
          <w:rFonts w:asciiTheme="minorHAnsi" w:hAnsiTheme="minorHAnsi"/>
          <w:sz w:val="22"/>
        </w:rPr>
      </w:pPr>
      <w:r w:rsidRPr="00C93E78">
        <w:rPr>
          <w:rFonts w:asciiTheme="minorHAnsi" w:hAnsiTheme="minorHAnsi"/>
          <w:sz w:val="22"/>
        </w:rPr>
        <w:t xml:space="preserve">• </w:t>
      </w:r>
      <w:proofErr w:type="gramStart"/>
      <w:r w:rsidRPr="00C93E78">
        <w:rPr>
          <w:rFonts w:asciiTheme="minorHAnsi" w:hAnsiTheme="minorHAnsi"/>
          <w:sz w:val="22"/>
        </w:rPr>
        <w:t>caring</w:t>
      </w:r>
      <w:proofErr w:type="gramEnd"/>
      <w:r w:rsidRPr="00C93E78">
        <w:rPr>
          <w:rFonts w:asciiTheme="minorHAnsi" w:hAnsiTheme="minorHAnsi"/>
          <w:sz w:val="22"/>
        </w:rPr>
        <w:t xml:space="preserve"> responsibilities</w:t>
      </w:r>
    </w:p>
    <w:p w14:paraId="3F6A62F8" w14:textId="77777777" w:rsidR="00C93E78" w:rsidRPr="00C93E78" w:rsidRDefault="00C93E78" w:rsidP="00C93E78">
      <w:pPr>
        <w:keepNext/>
        <w:ind w:left="720"/>
        <w:rPr>
          <w:rFonts w:asciiTheme="minorHAnsi" w:hAnsiTheme="minorHAnsi"/>
          <w:sz w:val="22"/>
        </w:rPr>
      </w:pPr>
      <w:r w:rsidRPr="00C93E78">
        <w:rPr>
          <w:rFonts w:asciiTheme="minorHAnsi" w:hAnsiTheme="minorHAnsi"/>
          <w:sz w:val="22"/>
        </w:rPr>
        <w:t>• left care themselves</w:t>
      </w:r>
    </w:p>
    <w:p w14:paraId="6F63AB6B" w14:textId="77777777" w:rsidR="00C93E78" w:rsidRPr="00C93E78" w:rsidRDefault="00C93E78" w:rsidP="00C93E78">
      <w:pPr>
        <w:keepNext/>
        <w:ind w:left="720"/>
        <w:rPr>
          <w:rFonts w:asciiTheme="minorHAnsi" w:hAnsiTheme="minorHAnsi"/>
          <w:sz w:val="22"/>
        </w:rPr>
      </w:pPr>
      <w:r w:rsidRPr="00C93E78">
        <w:rPr>
          <w:rFonts w:asciiTheme="minorHAnsi" w:hAnsiTheme="minorHAnsi"/>
          <w:sz w:val="22"/>
        </w:rPr>
        <w:t xml:space="preserve">• </w:t>
      </w:r>
      <w:proofErr w:type="gramStart"/>
      <w:r w:rsidRPr="00C93E78">
        <w:rPr>
          <w:rFonts w:asciiTheme="minorHAnsi" w:hAnsiTheme="minorHAnsi"/>
          <w:sz w:val="22"/>
        </w:rPr>
        <w:t>less</w:t>
      </w:r>
      <w:proofErr w:type="gramEnd"/>
      <w:r w:rsidRPr="00C93E78">
        <w:rPr>
          <w:rFonts w:asciiTheme="minorHAnsi" w:hAnsiTheme="minorHAnsi"/>
          <w:sz w:val="22"/>
        </w:rPr>
        <w:t xml:space="preserve"> affluent backgrounds (measured by low participation neighbourhood)</w:t>
      </w:r>
    </w:p>
    <w:p w14:paraId="5DB41437" w14:textId="77777777" w:rsidR="00C93E78" w:rsidRPr="002617CF" w:rsidRDefault="00C93E78" w:rsidP="00C93E78">
      <w:pPr>
        <w:keepNext/>
        <w:rPr>
          <w:rFonts w:asciiTheme="minorHAnsi" w:hAnsiTheme="minorHAnsi"/>
        </w:rPr>
      </w:pPr>
    </w:p>
    <w:p w14:paraId="607874FE" w14:textId="77777777" w:rsidR="00C93E78" w:rsidRPr="002F560D" w:rsidRDefault="00C93E78" w:rsidP="00C93E78">
      <w:pPr>
        <w:keepNext/>
        <w:rPr>
          <w:rFonts w:asciiTheme="minorHAnsi" w:hAnsiTheme="minorHAnsi"/>
          <w:sz w:val="22"/>
          <w:szCs w:val="22"/>
        </w:rPr>
      </w:pPr>
      <w:r w:rsidRPr="002F560D">
        <w:rPr>
          <w:rFonts w:asciiTheme="minorHAnsi" w:hAnsiTheme="minorHAnsi"/>
          <w:sz w:val="22"/>
          <w:szCs w:val="22"/>
        </w:rPr>
        <w:t>Indicators (by March 2019 when the programme ends):</w:t>
      </w:r>
    </w:p>
    <w:p w14:paraId="082D2D83" w14:textId="77777777" w:rsidR="00C93E78" w:rsidRPr="002F560D" w:rsidRDefault="00C93E78" w:rsidP="00C93E78">
      <w:pPr>
        <w:keepNext/>
        <w:ind w:left="720"/>
        <w:rPr>
          <w:rFonts w:asciiTheme="minorHAnsi" w:hAnsiTheme="minorHAnsi"/>
          <w:sz w:val="22"/>
          <w:szCs w:val="22"/>
        </w:rPr>
      </w:pPr>
      <w:r w:rsidRPr="002F560D">
        <w:rPr>
          <w:rFonts w:asciiTheme="minorHAnsi" w:hAnsiTheme="minorHAnsi"/>
          <w:sz w:val="22"/>
          <w:szCs w:val="22"/>
        </w:rPr>
        <w:t>Participants (receiving advice and guidance):</w:t>
      </w:r>
      <w:r w:rsidRPr="002F560D">
        <w:rPr>
          <w:rFonts w:asciiTheme="minorHAnsi" w:hAnsiTheme="minorHAnsi"/>
          <w:sz w:val="22"/>
          <w:szCs w:val="22"/>
        </w:rPr>
        <w:tab/>
        <w:t>456</w:t>
      </w:r>
    </w:p>
    <w:p w14:paraId="4837AA05" w14:textId="77777777" w:rsidR="00C93E78" w:rsidRPr="002F560D" w:rsidRDefault="00C93E78" w:rsidP="00C93E78">
      <w:pPr>
        <w:keepNext/>
        <w:ind w:left="720"/>
        <w:rPr>
          <w:rFonts w:asciiTheme="minorHAnsi" w:hAnsiTheme="minorHAnsi"/>
          <w:sz w:val="22"/>
          <w:szCs w:val="22"/>
        </w:rPr>
      </w:pPr>
      <w:r w:rsidRPr="002F560D">
        <w:rPr>
          <w:rFonts w:asciiTheme="minorHAnsi" w:hAnsiTheme="minorHAnsi"/>
          <w:sz w:val="22"/>
          <w:szCs w:val="22"/>
        </w:rPr>
        <w:t>Participants undertaking work experience:</w:t>
      </w:r>
      <w:r w:rsidRPr="002F560D">
        <w:rPr>
          <w:rFonts w:asciiTheme="minorHAnsi" w:hAnsiTheme="minorHAnsi"/>
          <w:sz w:val="22"/>
          <w:szCs w:val="22"/>
        </w:rPr>
        <w:tab/>
        <w:t>380</w:t>
      </w:r>
    </w:p>
    <w:p w14:paraId="1A825AD5" w14:textId="77777777" w:rsidR="00C93E78" w:rsidRPr="002F560D" w:rsidRDefault="00C93E78" w:rsidP="00C93E78">
      <w:pPr>
        <w:keepNext/>
        <w:ind w:left="720"/>
        <w:rPr>
          <w:rFonts w:asciiTheme="minorHAnsi" w:hAnsiTheme="minorHAnsi"/>
          <w:sz w:val="22"/>
          <w:szCs w:val="22"/>
        </w:rPr>
      </w:pPr>
      <w:r w:rsidRPr="002F560D">
        <w:rPr>
          <w:rFonts w:asciiTheme="minorHAnsi" w:hAnsiTheme="minorHAnsi"/>
          <w:sz w:val="22"/>
          <w:szCs w:val="22"/>
        </w:rPr>
        <w:t>Participants at reduced risk of becoming NEET*:</w:t>
      </w:r>
      <w:r w:rsidRPr="002F560D">
        <w:rPr>
          <w:rFonts w:asciiTheme="minorHAnsi" w:hAnsiTheme="minorHAnsi"/>
          <w:sz w:val="22"/>
          <w:szCs w:val="22"/>
        </w:rPr>
        <w:tab/>
        <w:t>304</w:t>
      </w:r>
    </w:p>
    <w:p w14:paraId="15E36F21" w14:textId="77777777" w:rsidR="00C93E78" w:rsidRPr="002F560D" w:rsidRDefault="00C93E78" w:rsidP="00C93E78">
      <w:pPr>
        <w:keepNext/>
        <w:ind w:left="720"/>
        <w:rPr>
          <w:rFonts w:asciiTheme="minorHAnsi" w:hAnsiTheme="minorHAnsi"/>
          <w:i/>
          <w:iCs/>
          <w:sz w:val="22"/>
          <w:szCs w:val="22"/>
        </w:rPr>
      </w:pPr>
      <w:r w:rsidRPr="002F560D">
        <w:rPr>
          <w:rFonts w:asciiTheme="minorHAnsi" w:hAnsiTheme="minorHAnsi"/>
          <w:i/>
          <w:iCs/>
          <w:sz w:val="22"/>
          <w:szCs w:val="22"/>
        </w:rPr>
        <w:t>* evidenced by Employability Rating outcomes</w:t>
      </w:r>
    </w:p>
    <w:p w14:paraId="389D1962" w14:textId="77777777" w:rsidR="00B102BB" w:rsidRDefault="00B102BB" w:rsidP="00B102BB">
      <w:pPr>
        <w:pStyle w:val="ListParagraph"/>
        <w:spacing w:before="360"/>
        <w:ind w:left="426"/>
        <w:rPr>
          <w:b/>
        </w:rPr>
      </w:pPr>
    </w:p>
    <w:p w14:paraId="7DE3A8DA" w14:textId="77777777" w:rsidR="00B102BB" w:rsidRDefault="00B102BB" w:rsidP="00B102BB">
      <w:pPr>
        <w:pStyle w:val="ListParagraph"/>
        <w:spacing w:before="360"/>
        <w:ind w:left="426"/>
        <w:rPr>
          <w:b/>
        </w:rPr>
      </w:pPr>
    </w:p>
    <w:p w14:paraId="512AFEFB" w14:textId="77777777" w:rsidR="00C93E78" w:rsidRPr="002F560D" w:rsidRDefault="00C93E78" w:rsidP="00C93E78">
      <w:pPr>
        <w:pStyle w:val="ListParagraph"/>
        <w:numPr>
          <w:ilvl w:val="0"/>
          <w:numId w:val="12"/>
        </w:numPr>
        <w:spacing w:before="360"/>
        <w:ind w:left="426" w:hanging="426"/>
        <w:rPr>
          <w:b/>
        </w:rPr>
      </w:pPr>
      <w:r w:rsidRPr="002F560D">
        <w:rPr>
          <w:b/>
        </w:rPr>
        <w:t>Student success: progression into further employment or postgraduate study.</w:t>
      </w:r>
    </w:p>
    <w:p w14:paraId="7984D3A6" w14:textId="77777777" w:rsidR="00C93E78" w:rsidRPr="002F560D" w:rsidRDefault="00C93E78" w:rsidP="00C93E78">
      <w:pPr>
        <w:rPr>
          <w:rFonts w:asciiTheme="minorHAnsi" w:hAnsiTheme="minorHAnsi"/>
          <w:sz w:val="22"/>
          <w:szCs w:val="22"/>
        </w:rPr>
      </w:pPr>
      <w:r w:rsidRPr="002F560D">
        <w:rPr>
          <w:rFonts w:asciiTheme="minorHAnsi" w:hAnsiTheme="minorHAnsi"/>
          <w:sz w:val="22"/>
          <w:szCs w:val="22"/>
        </w:rPr>
        <w:t xml:space="preserve">We intend to carry out analyses to understand patterns of progression to </w:t>
      </w:r>
      <w:proofErr w:type="gramStart"/>
      <w:r w:rsidRPr="002F560D">
        <w:rPr>
          <w:rFonts w:asciiTheme="minorHAnsi" w:hAnsiTheme="minorHAnsi"/>
          <w:sz w:val="22"/>
          <w:szCs w:val="22"/>
        </w:rPr>
        <w:t>further study and employment and how these differ for different student groups</w:t>
      </w:r>
      <w:proofErr w:type="gramEnd"/>
      <w:r w:rsidRPr="002F560D">
        <w:rPr>
          <w:rFonts w:asciiTheme="minorHAnsi" w:hAnsiTheme="minorHAnsi"/>
          <w:sz w:val="22"/>
          <w:szCs w:val="22"/>
        </w:rPr>
        <w:t>.</w:t>
      </w:r>
    </w:p>
    <w:p w14:paraId="77B879CB" w14:textId="77777777" w:rsidR="00C93E78" w:rsidRPr="002F560D" w:rsidRDefault="00C93E78" w:rsidP="00C93E78">
      <w:pPr>
        <w:pStyle w:val="ListParagraph"/>
        <w:numPr>
          <w:ilvl w:val="0"/>
          <w:numId w:val="12"/>
        </w:numPr>
        <w:spacing w:before="360"/>
        <w:ind w:left="426" w:hanging="426"/>
        <w:rPr>
          <w:b/>
        </w:rPr>
      </w:pPr>
      <w:r w:rsidRPr="002F560D">
        <w:rPr>
          <w:b/>
        </w:rPr>
        <w:t>Strategic Equality Plan: action plan priorities</w:t>
      </w:r>
    </w:p>
    <w:p w14:paraId="7B254F90" w14:textId="443977F3" w:rsidR="00C93E78" w:rsidRPr="002F560D" w:rsidRDefault="00C93E78" w:rsidP="00C93E78">
      <w:pPr>
        <w:spacing w:after="120"/>
        <w:rPr>
          <w:rFonts w:asciiTheme="minorHAnsi" w:hAnsiTheme="minorHAnsi"/>
          <w:sz w:val="22"/>
          <w:szCs w:val="22"/>
        </w:rPr>
      </w:pPr>
      <w:r w:rsidRPr="002F560D">
        <w:rPr>
          <w:rFonts w:asciiTheme="minorHAnsi" w:hAnsiTheme="minorHAnsi"/>
          <w:sz w:val="22"/>
          <w:szCs w:val="22"/>
        </w:rPr>
        <w:t>The Widening Participation strategy will include indicators drawn from the Strategic Equality Plan (Objective 2)</w:t>
      </w:r>
      <w:r w:rsidRPr="002F560D">
        <w:rPr>
          <w:rFonts w:asciiTheme="minorHAnsi" w:hAnsiTheme="minorHAnsi"/>
          <w:bCs/>
          <w:sz w:val="22"/>
          <w:szCs w:val="22"/>
        </w:rPr>
        <w:t xml:space="preserve">: </w:t>
      </w:r>
      <w:r w:rsidRPr="002F560D">
        <w:rPr>
          <w:rFonts w:asciiTheme="minorHAnsi" w:hAnsiTheme="minorHAnsi"/>
          <w:bCs/>
          <w:i/>
          <w:sz w:val="22"/>
          <w:szCs w:val="22"/>
        </w:rPr>
        <w:t>To attract and retain the brightest students from a diversity of backgrounds by providing an inclusive and supportive learning and teaching environment.</w:t>
      </w:r>
      <w:r w:rsidRPr="002F560D">
        <w:rPr>
          <w:rFonts w:asciiTheme="minorHAnsi" w:hAnsiTheme="minorHAnsi"/>
          <w:sz w:val="22"/>
          <w:szCs w:val="22"/>
        </w:rPr>
        <w:t xml:space="preserve"> </w:t>
      </w:r>
      <w:r w:rsidR="00962BFD">
        <w:rPr>
          <w:rFonts w:asciiTheme="minorHAnsi" w:hAnsiTheme="minorHAnsi"/>
          <w:sz w:val="22"/>
          <w:szCs w:val="22"/>
        </w:rPr>
        <w:t>T</w:t>
      </w:r>
      <w:r w:rsidRPr="002F560D">
        <w:rPr>
          <w:rFonts w:asciiTheme="minorHAnsi" w:hAnsiTheme="minorHAnsi"/>
          <w:sz w:val="22"/>
          <w:szCs w:val="22"/>
        </w:rPr>
        <w:t xml:space="preserve">he </w:t>
      </w:r>
      <w:proofErr w:type="gramStart"/>
      <w:r w:rsidR="00962BFD">
        <w:rPr>
          <w:rFonts w:asciiTheme="minorHAnsi" w:hAnsiTheme="minorHAnsi"/>
          <w:sz w:val="22"/>
          <w:szCs w:val="22"/>
        </w:rPr>
        <w:t xml:space="preserve">following </w:t>
      </w:r>
      <w:r w:rsidRPr="002F560D">
        <w:rPr>
          <w:rFonts w:asciiTheme="minorHAnsi" w:hAnsiTheme="minorHAnsi"/>
          <w:sz w:val="22"/>
          <w:szCs w:val="22"/>
        </w:rPr>
        <w:t xml:space="preserve">issues/areas for action </w:t>
      </w:r>
      <w:r w:rsidR="00962BFD">
        <w:rPr>
          <w:rFonts w:asciiTheme="minorHAnsi" w:hAnsiTheme="minorHAnsi"/>
          <w:sz w:val="22"/>
          <w:szCs w:val="22"/>
        </w:rPr>
        <w:t>were</w:t>
      </w:r>
      <w:r w:rsidRPr="002F560D">
        <w:rPr>
          <w:rFonts w:asciiTheme="minorHAnsi" w:hAnsiTheme="minorHAnsi"/>
          <w:sz w:val="22"/>
          <w:szCs w:val="22"/>
        </w:rPr>
        <w:t xml:space="preserve"> </w:t>
      </w:r>
      <w:r w:rsidR="00962BFD">
        <w:rPr>
          <w:rFonts w:asciiTheme="minorHAnsi" w:hAnsiTheme="minorHAnsi"/>
          <w:sz w:val="22"/>
          <w:szCs w:val="22"/>
        </w:rPr>
        <w:t>agreed</w:t>
      </w:r>
      <w:r w:rsidRPr="002F560D">
        <w:rPr>
          <w:rFonts w:asciiTheme="minorHAnsi" w:hAnsiTheme="minorHAnsi"/>
          <w:sz w:val="22"/>
          <w:szCs w:val="22"/>
        </w:rPr>
        <w:t xml:space="preserve"> by the Equality and Diversity Committee</w:t>
      </w:r>
      <w:proofErr w:type="gramEnd"/>
      <w:r w:rsidRPr="002F560D">
        <w:rPr>
          <w:rFonts w:asciiTheme="minorHAnsi" w:hAnsiTheme="minorHAnsi"/>
          <w:sz w:val="22"/>
          <w:szCs w:val="22"/>
        </w:rPr>
        <w:t xml:space="preserve"> in April 2016.</w:t>
      </w:r>
    </w:p>
    <w:p w14:paraId="616A3A07" w14:textId="77777777" w:rsidR="00C93E78" w:rsidRPr="002F560D" w:rsidRDefault="00C93E78" w:rsidP="00C93E78">
      <w:pPr>
        <w:spacing w:line="252" w:lineRule="auto"/>
        <w:ind w:left="720"/>
        <w:rPr>
          <w:rFonts w:asciiTheme="minorHAnsi" w:hAnsiTheme="minorHAnsi"/>
          <w:sz w:val="22"/>
          <w:szCs w:val="22"/>
        </w:rPr>
      </w:pPr>
      <w:r w:rsidRPr="002F560D">
        <w:rPr>
          <w:rFonts w:asciiTheme="minorHAnsi" w:hAnsiTheme="minorHAnsi"/>
          <w:b/>
          <w:bCs/>
          <w:sz w:val="22"/>
          <w:szCs w:val="22"/>
        </w:rPr>
        <w:t>Issue/area for action:</w:t>
      </w:r>
      <w:r w:rsidRPr="002F560D">
        <w:rPr>
          <w:rFonts w:asciiTheme="minorHAnsi" w:hAnsiTheme="minorHAnsi"/>
          <w:sz w:val="22"/>
          <w:szCs w:val="22"/>
        </w:rPr>
        <w:t xml:space="preserve"> Progression of students (focus on Year 1).  Addressing the non-progression of</w:t>
      </w:r>
      <w:bookmarkStart w:id="0" w:name="_GoBack"/>
      <w:bookmarkEnd w:id="0"/>
      <w:r w:rsidRPr="002F560D">
        <w:rPr>
          <w:rFonts w:asciiTheme="minorHAnsi" w:hAnsiTheme="minorHAnsi"/>
          <w:sz w:val="22"/>
          <w:szCs w:val="22"/>
        </w:rPr>
        <w:t xml:space="preserve"> students from Year 1 for all protected characteristics but with particular focus on ethnicity, male students, and disabled students (with a link to learning and teaching/ curriculum and also to the changes with Disabled Students Allowance)</w:t>
      </w:r>
    </w:p>
    <w:p w14:paraId="4340FBFB" w14:textId="77777777" w:rsidR="00C93E78" w:rsidRPr="002F560D" w:rsidRDefault="00C93E78" w:rsidP="00C93E78">
      <w:pPr>
        <w:spacing w:line="252" w:lineRule="auto"/>
        <w:ind w:left="720"/>
        <w:rPr>
          <w:rFonts w:asciiTheme="minorHAnsi" w:hAnsiTheme="minorHAnsi"/>
          <w:sz w:val="22"/>
          <w:szCs w:val="22"/>
        </w:rPr>
      </w:pPr>
    </w:p>
    <w:p w14:paraId="2F0F9311" w14:textId="77777777" w:rsidR="00C93E78" w:rsidRPr="002F560D" w:rsidRDefault="00C93E78" w:rsidP="00C93E78">
      <w:pPr>
        <w:spacing w:line="252" w:lineRule="auto"/>
        <w:ind w:left="720"/>
        <w:rPr>
          <w:rFonts w:asciiTheme="minorHAnsi" w:hAnsiTheme="minorHAnsi"/>
          <w:sz w:val="22"/>
          <w:szCs w:val="22"/>
        </w:rPr>
      </w:pPr>
      <w:r w:rsidRPr="002F560D">
        <w:rPr>
          <w:rFonts w:asciiTheme="minorHAnsi" w:hAnsiTheme="minorHAnsi"/>
          <w:b/>
          <w:bCs/>
          <w:sz w:val="22"/>
          <w:szCs w:val="22"/>
        </w:rPr>
        <w:t>Overall measureable outcome:</w:t>
      </w:r>
      <w:r w:rsidRPr="002F560D">
        <w:rPr>
          <w:rFonts w:asciiTheme="minorHAnsi" w:hAnsiTheme="minorHAnsi"/>
          <w:bCs/>
          <w:sz w:val="22"/>
          <w:szCs w:val="22"/>
        </w:rPr>
        <w:t xml:space="preserve"> </w:t>
      </w:r>
      <w:r w:rsidRPr="002F560D">
        <w:rPr>
          <w:rFonts w:asciiTheme="minorHAnsi" w:hAnsiTheme="minorHAnsi"/>
          <w:sz w:val="22"/>
          <w:szCs w:val="22"/>
        </w:rPr>
        <w:t>Male students:</w:t>
      </w:r>
      <w:r w:rsidRPr="002F560D">
        <w:rPr>
          <w:rFonts w:asciiTheme="minorHAnsi" w:hAnsiTheme="minorHAnsi"/>
          <w:b/>
          <w:sz w:val="22"/>
          <w:szCs w:val="22"/>
        </w:rPr>
        <w:t xml:space="preserve"> </w:t>
      </w:r>
      <w:r w:rsidRPr="002F560D">
        <w:rPr>
          <w:rFonts w:asciiTheme="minorHAnsi" w:hAnsiTheme="minorHAnsi"/>
          <w:sz w:val="22"/>
          <w:szCs w:val="22"/>
        </w:rPr>
        <w:t xml:space="preserve">A measurable reduction in non-progression rates for male students bringing the non-progression gap closer to the UK benchmark of 2.1% (currently 5%). BME students – the CU non-progression gap of 4.3% between BME and white students is currently close to the UK benchmark of a 3.9%. The measureable outcome will be to aim to meet and exceed the UK benchmark. Disabled students- A measurable reduction in non-progression rates for disabled students bringing the non-progression gap closer to the UK benchmark of 1.4% (currently 2.7%) </w:t>
      </w:r>
    </w:p>
    <w:p w14:paraId="0389C693" w14:textId="77777777" w:rsidR="00C93E78" w:rsidRPr="002F560D" w:rsidRDefault="00C93E78" w:rsidP="00C93E78">
      <w:pPr>
        <w:spacing w:line="252" w:lineRule="auto"/>
        <w:ind w:left="720"/>
        <w:rPr>
          <w:rFonts w:asciiTheme="minorHAnsi" w:hAnsiTheme="minorHAnsi"/>
          <w:sz w:val="22"/>
          <w:szCs w:val="22"/>
        </w:rPr>
      </w:pPr>
    </w:p>
    <w:p w14:paraId="5793AF3F" w14:textId="77777777" w:rsidR="00C93E78" w:rsidRPr="002F560D" w:rsidRDefault="00C93E78" w:rsidP="00C93E78">
      <w:pPr>
        <w:autoSpaceDE w:val="0"/>
        <w:autoSpaceDN w:val="0"/>
        <w:ind w:left="720"/>
        <w:rPr>
          <w:rFonts w:asciiTheme="minorHAnsi" w:hAnsiTheme="minorHAnsi"/>
          <w:sz w:val="22"/>
          <w:szCs w:val="22"/>
        </w:rPr>
      </w:pPr>
      <w:r w:rsidRPr="002F560D">
        <w:rPr>
          <w:rFonts w:asciiTheme="minorHAnsi" w:hAnsiTheme="minorHAnsi"/>
          <w:b/>
          <w:bCs/>
          <w:sz w:val="22"/>
          <w:szCs w:val="22"/>
        </w:rPr>
        <w:t>Issue/area for action:</w:t>
      </w:r>
      <w:r w:rsidRPr="002F560D">
        <w:rPr>
          <w:rFonts w:asciiTheme="minorHAnsi" w:hAnsiTheme="minorHAnsi"/>
          <w:sz w:val="22"/>
          <w:szCs w:val="22"/>
        </w:rPr>
        <w:t xml:space="preserve"> Addressing differential attainment for some protected characteristic groups – focus on male students and BME students who are less likely to attain a good (1</w:t>
      </w:r>
      <w:r w:rsidRPr="002F560D">
        <w:rPr>
          <w:rFonts w:asciiTheme="minorHAnsi" w:hAnsiTheme="minorHAnsi"/>
          <w:sz w:val="22"/>
          <w:szCs w:val="22"/>
          <w:vertAlign w:val="superscript"/>
        </w:rPr>
        <w:t>st</w:t>
      </w:r>
      <w:r w:rsidRPr="002F560D">
        <w:rPr>
          <w:rFonts w:asciiTheme="minorHAnsi" w:hAnsiTheme="minorHAnsi"/>
          <w:sz w:val="22"/>
          <w:szCs w:val="22"/>
        </w:rPr>
        <w:t xml:space="preserve"> or 2.1) degree. Link into looking at Year 1 average marks to see if differential attainment is present at an early stage.</w:t>
      </w:r>
    </w:p>
    <w:p w14:paraId="57B6E66B" w14:textId="77777777" w:rsidR="00C93E78" w:rsidRPr="002F560D" w:rsidRDefault="00C93E78" w:rsidP="00C93E78">
      <w:pPr>
        <w:autoSpaceDE w:val="0"/>
        <w:autoSpaceDN w:val="0"/>
        <w:ind w:left="720"/>
        <w:rPr>
          <w:rFonts w:asciiTheme="minorHAnsi" w:hAnsiTheme="minorHAnsi"/>
          <w:sz w:val="22"/>
          <w:szCs w:val="22"/>
        </w:rPr>
      </w:pPr>
    </w:p>
    <w:p w14:paraId="1EB26B3E" w14:textId="77777777" w:rsidR="00C93E78" w:rsidRPr="002F560D" w:rsidRDefault="00C93E78" w:rsidP="00C93E78">
      <w:pPr>
        <w:autoSpaceDE w:val="0"/>
        <w:autoSpaceDN w:val="0"/>
        <w:ind w:left="720"/>
        <w:rPr>
          <w:rFonts w:asciiTheme="minorHAnsi" w:hAnsiTheme="minorHAnsi"/>
          <w:sz w:val="22"/>
          <w:szCs w:val="22"/>
        </w:rPr>
      </w:pPr>
      <w:r w:rsidRPr="002F560D">
        <w:rPr>
          <w:rFonts w:asciiTheme="minorHAnsi" w:hAnsiTheme="minorHAnsi"/>
          <w:b/>
          <w:sz w:val="22"/>
          <w:szCs w:val="22"/>
        </w:rPr>
        <w:t xml:space="preserve">Overall Measureable Outcome: </w:t>
      </w:r>
      <w:r w:rsidRPr="002F560D">
        <w:rPr>
          <w:rFonts w:asciiTheme="minorHAnsi" w:hAnsiTheme="minorHAnsi"/>
          <w:sz w:val="22"/>
          <w:szCs w:val="22"/>
        </w:rPr>
        <w:t xml:space="preserve">A measurable reduction in the attainment gap for male students and BME students, taking into account year 1 average marks, which is more in line with the attainment outcomes for female students and other ethnic groups. Gender – Reduction in the attainment gap between males and females which is currently 7.5% to bring it in line with (or lower than) the benchmark attainment gap of 5.2%. Ethnicity – the attainment gap for Cardiff University is currently lower than the UK benchmark of a 15.2% attainment gap between BME and white students (CU non-progression gap 14.5%) therefore the measureable outcome will be to aim for a reduction in the attainment gap for BME students brining it closer to the attainment outcomes for white students. </w:t>
      </w:r>
    </w:p>
    <w:p w14:paraId="3DC8F13B" w14:textId="77777777" w:rsidR="00C93E78" w:rsidRPr="002F560D" w:rsidRDefault="00C93E78" w:rsidP="00C93E78">
      <w:pPr>
        <w:autoSpaceDE w:val="0"/>
        <w:autoSpaceDN w:val="0"/>
        <w:ind w:left="720"/>
        <w:rPr>
          <w:rFonts w:asciiTheme="minorHAnsi" w:hAnsiTheme="minorHAnsi"/>
          <w:sz w:val="22"/>
          <w:szCs w:val="22"/>
        </w:rPr>
      </w:pPr>
    </w:p>
    <w:p w14:paraId="60DB37C1" w14:textId="77777777" w:rsidR="00C93E78" w:rsidRPr="002F560D" w:rsidRDefault="00C93E78" w:rsidP="00C93E78">
      <w:pPr>
        <w:autoSpaceDE w:val="0"/>
        <w:autoSpaceDN w:val="0"/>
        <w:ind w:left="720"/>
        <w:rPr>
          <w:rFonts w:asciiTheme="minorHAnsi" w:hAnsiTheme="minorHAnsi"/>
          <w:sz w:val="22"/>
          <w:szCs w:val="22"/>
        </w:rPr>
      </w:pPr>
      <w:r w:rsidRPr="002F560D">
        <w:rPr>
          <w:rFonts w:asciiTheme="minorHAnsi" w:hAnsiTheme="minorHAnsi"/>
          <w:sz w:val="22"/>
          <w:szCs w:val="22"/>
        </w:rPr>
        <w:t xml:space="preserve">Note: Attainment gap </w:t>
      </w:r>
      <w:proofErr w:type="gramStart"/>
      <w:r w:rsidRPr="002F560D">
        <w:rPr>
          <w:rFonts w:asciiTheme="minorHAnsi" w:hAnsiTheme="minorHAnsi"/>
          <w:sz w:val="22"/>
          <w:szCs w:val="22"/>
        </w:rPr>
        <w:t>is measured</w:t>
      </w:r>
      <w:proofErr w:type="gramEnd"/>
      <w:r w:rsidRPr="002F560D">
        <w:rPr>
          <w:rFonts w:asciiTheme="minorHAnsi" w:hAnsiTheme="minorHAnsi"/>
          <w:sz w:val="22"/>
          <w:szCs w:val="22"/>
        </w:rPr>
        <w:t xml:space="preserve"> as the difference between Undergraduate students achieving a first/2:1. For </w:t>
      </w:r>
      <w:proofErr w:type="gramStart"/>
      <w:r w:rsidRPr="002F560D">
        <w:rPr>
          <w:rFonts w:asciiTheme="minorHAnsi" w:hAnsiTheme="minorHAnsi"/>
          <w:sz w:val="22"/>
          <w:szCs w:val="22"/>
        </w:rPr>
        <w:t>Ethnicity</w:t>
      </w:r>
      <w:proofErr w:type="gramEnd"/>
      <w:r w:rsidRPr="002F560D">
        <w:rPr>
          <w:rFonts w:asciiTheme="minorHAnsi" w:hAnsiTheme="minorHAnsi"/>
          <w:sz w:val="22"/>
          <w:szCs w:val="22"/>
        </w:rPr>
        <w:t xml:space="preserve"> this is measured for UK fee status students only.</w:t>
      </w:r>
    </w:p>
    <w:p w14:paraId="54F6C05A" w14:textId="77777777" w:rsidR="00C93E78" w:rsidRPr="002F560D" w:rsidRDefault="00C93E78" w:rsidP="00C93E78">
      <w:pPr>
        <w:autoSpaceDE w:val="0"/>
        <w:autoSpaceDN w:val="0"/>
        <w:ind w:left="720"/>
        <w:rPr>
          <w:rFonts w:asciiTheme="minorHAnsi" w:hAnsiTheme="minorHAnsi"/>
          <w:sz w:val="22"/>
          <w:szCs w:val="22"/>
        </w:rPr>
      </w:pPr>
      <w:r w:rsidRPr="002F560D">
        <w:rPr>
          <w:rFonts w:asciiTheme="minorHAnsi" w:hAnsiTheme="minorHAnsi"/>
          <w:sz w:val="22"/>
          <w:szCs w:val="22"/>
        </w:rPr>
        <w:t xml:space="preserve"> </w:t>
      </w:r>
    </w:p>
    <w:p w14:paraId="193E235A" w14:textId="77777777" w:rsidR="00C93E78" w:rsidRPr="002F560D" w:rsidRDefault="00C93E78" w:rsidP="00C93E78">
      <w:pPr>
        <w:spacing w:line="252" w:lineRule="auto"/>
        <w:ind w:left="720"/>
        <w:rPr>
          <w:rFonts w:asciiTheme="minorHAnsi" w:hAnsiTheme="minorHAnsi"/>
          <w:sz w:val="22"/>
          <w:szCs w:val="22"/>
        </w:rPr>
      </w:pPr>
      <w:r w:rsidRPr="002F560D">
        <w:rPr>
          <w:rFonts w:asciiTheme="minorHAnsi" w:hAnsiTheme="minorHAnsi"/>
          <w:b/>
          <w:bCs/>
          <w:sz w:val="22"/>
          <w:szCs w:val="22"/>
        </w:rPr>
        <w:t>Issue/area for action:</w:t>
      </w:r>
      <w:r w:rsidRPr="002F560D">
        <w:rPr>
          <w:rFonts w:asciiTheme="minorHAnsi" w:hAnsiTheme="minorHAnsi"/>
          <w:sz w:val="22"/>
          <w:szCs w:val="22"/>
        </w:rPr>
        <w:t xml:space="preserve"> Student Admissions – Addressing the balance of males and females relating to subject choice with particular emphasis on subject choices that have a very low percentage of male participants </w:t>
      </w:r>
      <w:r w:rsidRPr="002F560D">
        <w:rPr>
          <w:rFonts w:asciiTheme="minorHAnsi" w:hAnsiTheme="minorHAnsi"/>
          <w:color w:val="1F4E79"/>
          <w:sz w:val="22"/>
          <w:szCs w:val="22"/>
        </w:rPr>
        <w:t>(</w:t>
      </w:r>
      <w:r w:rsidRPr="002F560D">
        <w:rPr>
          <w:rFonts w:asciiTheme="minorHAnsi" w:hAnsiTheme="minorHAnsi"/>
          <w:sz w:val="22"/>
          <w:szCs w:val="22"/>
        </w:rPr>
        <w:t>e.g. Healthcare, Psychology and Social Sciences) and subject choices that  have a very low percentage of female participants (e.g. Computer Sciences, Physics and Engineering)</w:t>
      </w:r>
    </w:p>
    <w:p w14:paraId="7FDEE153" w14:textId="77777777" w:rsidR="00C93E78" w:rsidRPr="002F560D" w:rsidRDefault="00C93E78" w:rsidP="00C93E78">
      <w:pPr>
        <w:spacing w:line="252" w:lineRule="auto"/>
        <w:ind w:left="720"/>
        <w:rPr>
          <w:rFonts w:asciiTheme="minorHAnsi" w:hAnsiTheme="minorHAnsi"/>
          <w:sz w:val="22"/>
          <w:szCs w:val="22"/>
        </w:rPr>
      </w:pPr>
    </w:p>
    <w:p w14:paraId="24771EBF" w14:textId="77777777" w:rsidR="00C93E78" w:rsidRPr="002F560D" w:rsidRDefault="00C93E78" w:rsidP="00C93E78">
      <w:pPr>
        <w:spacing w:line="252" w:lineRule="auto"/>
        <w:ind w:left="720"/>
        <w:rPr>
          <w:rFonts w:asciiTheme="minorHAnsi" w:hAnsiTheme="minorHAnsi"/>
          <w:sz w:val="22"/>
          <w:szCs w:val="22"/>
        </w:rPr>
      </w:pPr>
      <w:r w:rsidRPr="002F560D">
        <w:rPr>
          <w:rFonts w:asciiTheme="minorHAnsi" w:hAnsiTheme="minorHAnsi"/>
          <w:b/>
          <w:sz w:val="22"/>
          <w:szCs w:val="22"/>
        </w:rPr>
        <w:t>Overall Measureable Outcome:</w:t>
      </w:r>
      <w:r w:rsidRPr="002F560D">
        <w:rPr>
          <w:rFonts w:asciiTheme="minorHAnsi" w:hAnsiTheme="minorHAnsi"/>
          <w:sz w:val="22"/>
          <w:szCs w:val="22"/>
        </w:rPr>
        <w:t xml:space="preserve"> A measurable increase in the proportion of male and female students studying non-traditional subject choices at Cardiff University*. This objective will also link to measurable outcomes from the Widening Participation strategy.</w:t>
      </w:r>
    </w:p>
    <w:p w14:paraId="08E346F4" w14:textId="77777777" w:rsidR="00C93E78" w:rsidRPr="002F560D" w:rsidRDefault="00C93E78" w:rsidP="00C93E78">
      <w:pPr>
        <w:spacing w:line="252" w:lineRule="auto"/>
        <w:ind w:left="720"/>
        <w:rPr>
          <w:rFonts w:asciiTheme="minorHAnsi" w:hAnsiTheme="minorHAnsi"/>
          <w:sz w:val="22"/>
          <w:szCs w:val="22"/>
        </w:rPr>
      </w:pPr>
    </w:p>
    <w:p w14:paraId="1225AFA6" w14:textId="77777777" w:rsidR="00C93E78" w:rsidRPr="002F560D" w:rsidRDefault="00C93E78" w:rsidP="00C93E78">
      <w:pPr>
        <w:spacing w:line="252" w:lineRule="auto"/>
        <w:ind w:left="720"/>
        <w:rPr>
          <w:rFonts w:asciiTheme="minorHAnsi" w:hAnsiTheme="minorHAnsi"/>
          <w:sz w:val="22"/>
          <w:szCs w:val="22"/>
        </w:rPr>
      </w:pPr>
      <w:r w:rsidRPr="002F560D">
        <w:rPr>
          <w:rFonts w:asciiTheme="minorHAnsi" w:hAnsiTheme="minorHAnsi"/>
          <w:sz w:val="22"/>
          <w:szCs w:val="22"/>
        </w:rPr>
        <w:t>* Data indicates that Cardiff University data on subject choices for males and females is very similar to the UK data on subject choices (ECU statistical report 2015) with a gender split of around an 80:20 male/female students (Computer Sciences, Physics and Engineering) and around 80/20 female/male students (Healthcare, Psychology and Social Sciences)  in internal and benchmark data.</w:t>
      </w:r>
    </w:p>
    <w:p w14:paraId="4AD01ED6" w14:textId="77777777" w:rsidR="00C93E78" w:rsidRPr="002F560D" w:rsidRDefault="00C93E78" w:rsidP="00C93E78">
      <w:pPr>
        <w:rPr>
          <w:rFonts w:asciiTheme="minorHAnsi" w:hAnsiTheme="minorHAnsi"/>
          <w:b/>
          <w:sz w:val="22"/>
          <w:szCs w:val="22"/>
        </w:rPr>
      </w:pPr>
    </w:p>
    <w:p w14:paraId="2628C7D2" w14:textId="77777777" w:rsidR="00E25D4D" w:rsidRPr="002F560D" w:rsidRDefault="00E25D4D" w:rsidP="00E25D4D">
      <w:pPr>
        <w:rPr>
          <w:rFonts w:asciiTheme="minorHAnsi" w:hAnsiTheme="minorHAnsi"/>
          <w:sz w:val="22"/>
          <w:szCs w:val="22"/>
        </w:rPr>
      </w:pPr>
    </w:p>
    <w:sectPr w:rsidR="00E25D4D" w:rsidRPr="002F560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90C98" w14:textId="77777777" w:rsidR="008D1B9C" w:rsidRDefault="008D1B9C" w:rsidP="00E25D4D">
      <w:r>
        <w:separator/>
      </w:r>
    </w:p>
  </w:endnote>
  <w:endnote w:type="continuationSeparator" w:id="0">
    <w:p w14:paraId="31D54D31" w14:textId="77777777" w:rsidR="008D1B9C" w:rsidRDefault="008D1B9C" w:rsidP="00E2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06448"/>
      <w:docPartObj>
        <w:docPartGallery w:val="Page Numbers (Bottom of Page)"/>
        <w:docPartUnique/>
      </w:docPartObj>
    </w:sdtPr>
    <w:sdtEndPr>
      <w:rPr>
        <w:noProof/>
      </w:rPr>
    </w:sdtEndPr>
    <w:sdtContent>
      <w:p w14:paraId="4C5B2B98" w14:textId="1AEC3216" w:rsidR="00E44D08" w:rsidRDefault="00E44D08">
        <w:pPr>
          <w:pStyle w:val="Footer"/>
          <w:jc w:val="center"/>
        </w:pPr>
        <w:r>
          <w:fldChar w:fldCharType="begin"/>
        </w:r>
        <w:r>
          <w:instrText xml:space="preserve"> PAGE   \* MERGEFORMAT </w:instrText>
        </w:r>
        <w:r>
          <w:fldChar w:fldCharType="separate"/>
        </w:r>
        <w:r w:rsidR="00962BFD">
          <w:rPr>
            <w:noProof/>
          </w:rPr>
          <w:t>15</w:t>
        </w:r>
        <w:r>
          <w:rPr>
            <w:noProof/>
          </w:rPr>
          <w:fldChar w:fldCharType="end"/>
        </w:r>
      </w:p>
    </w:sdtContent>
  </w:sdt>
  <w:p w14:paraId="396861AF" w14:textId="77777777" w:rsidR="00E44D08" w:rsidRDefault="00E44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AC1DB" w14:textId="77777777" w:rsidR="008D1B9C" w:rsidRDefault="008D1B9C" w:rsidP="00E25D4D">
      <w:r>
        <w:separator/>
      </w:r>
    </w:p>
  </w:footnote>
  <w:footnote w:type="continuationSeparator" w:id="0">
    <w:p w14:paraId="5BE8F148" w14:textId="77777777" w:rsidR="008D1B9C" w:rsidRDefault="008D1B9C" w:rsidP="00E25D4D">
      <w:r>
        <w:continuationSeparator/>
      </w:r>
    </w:p>
  </w:footnote>
  <w:footnote w:id="1">
    <w:p w14:paraId="5F09058E" w14:textId="77777777" w:rsidR="008D1B9C" w:rsidRDefault="008D1B9C" w:rsidP="00E25D4D">
      <w:pPr>
        <w:pStyle w:val="FootnoteText"/>
      </w:pPr>
      <w:r>
        <w:rPr>
          <w:rStyle w:val="FootnoteReference"/>
        </w:rPr>
        <w:footnoteRef/>
      </w:r>
      <w:r>
        <w:t xml:space="preserve"> </w:t>
      </w:r>
      <w:r w:rsidRPr="000A05D3">
        <w:t>Fee and access plans are the means by which a higher education (HE) provider enters the regulatory system in Wales. Under the HE (Wales) Act 2015, a provider with a fee and access plan approved by HEFCW becomes a ‘regulated institution’ and is eligible for Welsh Government financial support for its undergraduate courses. Fee and access plans sets out the regulated institution’s commitment to investing a proportion of its fee income in a range of activities to secure equality of opportunity for groups under-represented</w:t>
      </w:r>
      <w:r>
        <w:t xml:space="preserve"> in HE and the promotion of HE.</w:t>
      </w:r>
    </w:p>
  </w:footnote>
  <w:footnote w:id="2">
    <w:p w14:paraId="78270AB3" w14:textId="77777777" w:rsidR="008D1B9C" w:rsidRDefault="008D1B9C" w:rsidP="00E25D4D">
      <w:pPr>
        <w:pStyle w:val="FootnoteText"/>
      </w:pPr>
      <w:r>
        <w:rPr>
          <w:rStyle w:val="FootnoteReference"/>
        </w:rPr>
        <w:footnoteRef/>
      </w:r>
      <w:r>
        <w:t xml:space="preserve"> </w:t>
      </w:r>
      <w:r w:rsidRPr="005E069D">
        <w:t xml:space="preserve">Rees G, Taylor C, Davies R, Drinkwater S, Evans C, Wright C. </w:t>
      </w:r>
      <w:r>
        <w:t xml:space="preserve">(2015) </w:t>
      </w:r>
      <w:r w:rsidRPr="005E069D">
        <w:t xml:space="preserve">'Access to Higher Education in Wales: A Report to the Higher Education Funding Council for </w:t>
      </w:r>
      <w:r>
        <w:t>W</w:t>
      </w:r>
      <w:r w:rsidRPr="005E069D">
        <w:t>ales' </w:t>
      </w:r>
      <w:hyperlink r:id="rId1" w:history="1">
        <w:r w:rsidRPr="00B6203B">
          <w:rPr>
            <w:rStyle w:val="Hyperlink"/>
          </w:rPr>
          <w:t>http://www.wiserd.ac.uk/research/publications/wiserd-publications/reports/</w:t>
        </w:r>
      </w:hyperlink>
      <w:r>
        <w:t xml:space="preserve"> </w:t>
      </w:r>
    </w:p>
  </w:footnote>
  <w:footnote w:id="3">
    <w:p w14:paraId="0CD2675F" w14:textId="77777777" w:rsidR="008D1B9C" w:rsidRDefault="008D1B9C" w:rsidP="00E25D4D">
      <w:pPr>
        <w:pStyle w:val="FootnoteText"/>
      </w:pPr>
      <w:r>
        <w:rPr>
          <w:rStyle w:val="FootnoteReference"/>
        </w:rPr>
        <w:footnoteRef/>
      </w:r>
      <w:r>
        <w:t xml:space="preserve"> </w:t>
      </w:r>
      <w:r w:rsidRPr="00A26813">
        <w:rPr>
          <w:bCs/>
        </w:rPr>
        <w:t xml:space="preserve">Taylor, C., Rees, G., Sloan, L., &amp; Davies, R. </w:t>
      </w:r>
      <w:r w:rsidRPr="00A26813">
        <w:t>(2013)</w:t>
      </w:r>
      <w:r w:rsidRPr="00A26813">
        <w:rPr>
          <w:bCs/>
        </w:rPr>
        <w:t xml:space="preserve"> ‘Creating an inclusive HE system? Progression and outcomes of students</w:t>
      </w:r>
      <w:r w:rsidRPr="003B5AFD">
        <w:rPr>
          <w:bCs/>
        </w:rPr>
        <w:t xml:space="preserve"> from low participation neighbourhoods at a Welsh University’</w:t>
      </w:r>
      <w:r>
        <w:rPr>
          <w:bCs/>
        </w:rPr>
        <w:t xml:space="preserve"> </w:t>
      </w:r>
      <w:r w:rsidRPr="00A26813">
        <w:rPr>
          <w:bCs/>
          <w:i/>
        </w:rPr>
        <w:t>Contemporary Wales</w:t>
      </w:r>
      <w:r w:rsidRPr="00A26813">
        <w:rPr>
          <w:bCs/>
        </w:rPr>
        <w:t>, 26, 138-161</w:t>
      </w:r>
      <w:r>
        <w:rPr>
          <w:bCs/>
        </w:rPr>
        <w:t>.</w:t>
      </w:r>
    </w:p>
  </w:footnote>
  <w:footnote w:id="4">
    <w:p w14:paraId="7ED4622D" w14:textId="77777777" w:rsidR="008D1B9C" w:rsidRPr="00A26813" w:rsidRDefault="008D1B9C" w:rsidP="008D1B9C">
      <w:pPr>
        <w:pStyle w:val="FootnoteText"/>
      </w:pPr>
      <w:r>
        <w:rPr>
          <w:rStyle w:val="FootnoteReference"/>
        </w:rPr>
        <w:t>1</w:t>
      </w:r>
      <w:r>
        <w:t xml:space="preserve"> </w:t>
      </w:r>
      <w:r w:rsidRPr="00954EC5">
        <w:t>Our fee</w:t>
      </w:r>
      <w:r>
        <w:t xml:space="preserve"> and access</w:t>
      </w:r>
      <w:r w:rsidRPr="00954EC5">
        <w:t xml:space="preserve"> plan targets will be aligned with our strategic ambitions and, in th</w:t>
      </w:r>
      <w:r>
        <w:t xml:space="preserve">is way, provide assurance </w:t>
      </w:r>
      <w:r w:rsidRPr="00954EC5">
        <w:t xml:space="preserve">that we are committed </w:t>
      </w:r>
      <w:r w:rsidRPr="00A26813">
        <w:t>to the progress we are expecting to make.</w:t>
      </w:r>
    </w:p>
  </w:footnote>
  <w:footnote w:id="5">
    <w:p w14:paraId="34C7612B" w14:textId="77777777" w:rsidR="00B633DE" w:rsidRDefault="00B633DE" w:rsidP="00E25D4D">
      <w:pPr>
        <w:pStyle w:val="FootnoteText"/>
      </w:pPr>
      <w:r>
        <w:rPr>
          <w:rStyle w:val="FootnoteReference"/>
        </w:rPr>
        <w:t>2</w:t>
      </w:r>
      <w:r w:rsidRPr="008D1B9C">
        <w:rPr>
          <w:vertAlign w:val="superscript"/>
        </w:rPr>
        <w:t xml:space="preserve"> </w:t>
      </w:r>
      <w:r w:rsidRPr="00A26813">
        <w:rPr>
          <w:bCs/>
        </w:rPr>
        <w:t xml:space="preserve">Taylor, C., Rees, G., Sloan, L., &amp; Davies, R. </w:t>
      </w:r>
      <w:r w:rsidRPr="00A26813">
        <w:t>(2013)</w:t>
      </w:r>
      <w:r w:rsidRPr="00A26813">
        <w:rPr>
          <w:bCs/>
        </w:rPr>
        <w:t xml:space="preserve"> ‘Creating an inclusive HE system? Progression and outcomes of students</w:t>
      </w:r>
      <w:r w:rsidRPr="003B5AFD">
        <w:rPr>
          <w:bCs/>
        </w:rPr>
        <w:t xml:space="preserve"> from low participation neighbourhoods at a Welsh University’</w:t>
      </w:r>
      <w:r>
        <w:rPr>
          <w:bCs/>
        </w:rPr>
        <w:t xml:space="preserve"> </w:t>
      </w:r>
      <w:r w:rsidRPr="00A26813">
        <w:rPr>
          <w:bCs/>
          <w:i/>
        </w:rPr>
        <w:t>Contemporary Wales</w:t>
      </w:r>
      <w:r w:rsidRPr="00A26813">
        <w:rPr>
          <w:bCs/>
        </w:rPr>
        <w:t>, 26, 138-161</w:t>
      </w:r>
      <w:r>
        <w:rPr>
          <w:bCs/>
        </w:rPr>
        <w:t>.</w:t>
      </w:r>
    </w:p>
  </w:footnote>
  <w:footnote w:id="6">
    <w:p w14:paraId="5FE77C2C" w14:textId="77777777" w:rsidR="008D1B9C" w:rsidRDefault="002E6CF9" w:rsidP="00E25D4D">
      <w:pPr>
        <w:pStyle w:val="FootnoteText"/>
      </w:pPr>
      <w:r w:rsidRPr="002E6CF9">
        <w:rPr>
          <w:vertAlign w:val="superscript"/>
        </w:rPr>
        <w:t>3</w:t>
      </w:r>
      <w:r>
        <w:t xml:space="preserve"> </w:t>
      </w:r>
      <w:r w:rsidR="008D1B9C">
        <w:t xml:space="preserve">The sector benchmarks </w:t>
      </w:r>
      <w:proofErr w:type="gramStart"/>
      <w:r w:rsidR="008D1B9C">
        <w:t>are determined</w:t>
      </w:r>
      <w:proofErr w:type="gramEnd"/>
      <w:r w:rsidR="008D1B9C">
        <w:t xml:space="preserve"> by HESA and </w:t>
      </w:r>
      <w:r w:rsidR="008D1B9C" w:rsidRPr="00602DB6">
        <w:t>take account of the entry qualifications of a HE provider’s students, the subje</w:t>
      </w:r>
      <w:r w:rsidR="008D1B9C">
        <w:t xml:space="preserve">cts they studied, and their age. Further information available on the HESA website: </w:t>
      </w:r>
      <w:hyperlink r:id="rId2" w:history="1">
        <w:r w:rsidR="008D1B9C" w:rsidRPr="001B5425">
          <w:rPr>
            <w:rStyle w:val="Hyperlink"/>
          </w:rPr>
          <w:t>https://www.hesa.ac.uk/pis/benchmarks</w:t>
        </w:r>
      </w:hyperlink>
      <w:r w:rsidR="008D1B9C">
        <w:t xml:space="preserve"> </w:t>
      </w:r>
    </w:p>
  </w:footnote>
  <w:footnote w:id="7">
    <w:p w14:paraId="4E937DBF" w14:textId="77777777" w:rsidR="00C93E78" w:rsidRDefault="00C93E78" w:rsidP="00C93E78">
      <w:pPr>
        <w:pStyle w:val="FootnoteText"/>
      </w:pPr>
      <w:r>
        <w:rPr>
          <w:rStyle w:val="FootnoteReference"/>
        </w:rPr>
        <w:t>4</w:t>
      </w:r>
      <w:r>
        <w:t xml:space="preserve"> Vulnerable groups include care leavers, students with ASD, asylum seekers, refugees, carers, f</w:t>
      </w:r>
      <w:r w:rsidRPr="001A76B1">
        <w:t xml:space="preserve">orces veterans, </w:t>
      </w:r>
      <w:r>
        <w:t>e</w:t>
      </w:r>
      <w:r w:rsidRPr="001A76B1">
        <w:t>stranged student</w:t>
      </w:r>
      <w:r>
        <w:t>s, f</w:t>
      </w:r>
      <w:r w:rsidRPr="001A76B1">
        <w:t xml:space="preserve">irst in the family to enter </w:t>
      </w:r>
      <w:proofErr w:type="gramStart"/>
      <w:r w:rsidRPr="001A76B1">
        <w:t>HE</w:t>
      </w:r>
      <w:proofErr w:type="gram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81A28"/>
    <w:multiLevelType w:val="hybridMultilevel"/>
    <w:tmpl w:val="3878C86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0DCF64DF"/>
    <w:multiLevelType w:val="hybridMultilevel"/>
    <w:tmpl w:val="31A0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7600E"/>
    <w:multiLevelType w:val="hybridMultilevel"/>
    <w:tmpl w:val="6274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61EE9"/>
    <w:multiLevelType w:val="hybridMultilevel"/>
    <w:tmpl w:val="99420868"/>
    <w:lvl w:ilvl="0" w:tplc="0809000F">
      <w:start w:val="1"/>
      <w:numFmt w:val="decimal"/>
      <w:pStyle w:val="List0"/>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304B7AEC"/>
    <w:multiLevelType w:val="hybridMultilevel"/>
    <w:tmpl w:val="1F1E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61390"/>
    <w:multiLevelType w:val="hybridMultilevel"/>
    <w:tmpl w:val="5B66B4D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C70A1B"/>
    <w:multiLevelType w:val="hybridMultilevel"/>
    <w:tmpl w:val="B456C8FE"/>
    <w:lvl w:ilvl="0" w:tplc="A04E4210">
      <w:start w:val="1"/>
      <w:numFmt w:val="decimal"/>
      <w:lvlText w:val="%1."/>
      <w:lvlJc w:val="left"/>
      <w:pPr>
        <w:ind w:left="720" w:hanging="360"/>
      </w:pPr>
      <w:rPr>
        <w:b/>
      </w:rPr>
    </w:lvl>
    <w:lvl w:ilvl="1" w:tplc="63F290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90056"/>
    <w:multiLevelType w:val="hybridMultilevel"/>
    <w:tmpl w:val="FFB2F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EB1B60"/>
    <w:multiLevelType w:val="hybridMultilevel"/>
    <w:tmpl w:val="0A4E8DF4"/>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2C5773"/>
    <w:multiLevelType w:val="hybridMultilevel"/>
    <w:tmpl w:val="A9D628B0"/>
    <w:lvl w:ilvl="0" w:tplc="02D61D48">
      <w:start w:val="1"/>
      <w:numFmt w:val="bullet"/>
      <w:lvlText w:val=""/>
      <w:lvlJc w:val="left"/>
      <w:pPr>
        <w:ind w:left="360" w:hanging="360"/>
      </w:pPr>
      <w:rPr>
        <w:rFonts w:ascii="Symbol" w:hAnsi="Symbol" w:hint="default"/>
        <w:color w:val="auto"/>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9E41C4"/>
    <w:multiLevelType w:val="hybridMultilevel"/>
    <w:tmpl w:val="61603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8740E8"/>
    <w:multiLevelType w:val="hybridMultilevel"/>
    <w:tmpl w:val="7818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3D731E"/>
    <w:multiLevelType w:val="hybridMultilevel"/>
    <w:tmpl w:val="FD16D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FD2CCF"/>
    <w:multiLevelType w:val="hybridMultilevel"/>
    <w:tmpl w:val="1534BACC"/>
    <w:lvl w:ilvl="0" w:tplc="B7BADB64">
      <w:start w:val="1"/>
      <w:numFmt w:val="lowerLetter"/>
      <w:lvlText w:val="%1)"/>
      <w:lvlJc w:val="left"/>
      <w:pPr>
        <w:ind w:left="360" w:hanging="360"/>
      </w:pPr>
      <w:rPr>
        <w:rFonts w:hint="default"/>
        <w:i w:val="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88199A"/>
    <w:multiLevelType w:val="hybridMultilevel"/>
    <w:tmpl w:val="78E8BF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EFB3941"/>
    <w:multiLevelType w:val="hybridMultilevel"/>
    <w:tmpl w:val="48CC356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5"/>
  </w:num>
  <w:num w:numId="5">
    <w:abstractNumId w:val="0"/>
  </w:num>
  <w:num w:numId="6">
    <w:abstractNumId w:val="8"/>
  </w:num>
  <w:num w:numId="7">
    <w:abstractNumId w:val="5"/>
  </w:num>
  <w:num w:numId="8">
    <w:abstractNumId w:val="9"/>
  </w:num>
  <w:num w:numId="9">
    <w:abstractNumId w:val="14"/>
  </w:num>
  <w:num w:numId="10">
    <w:abstractNumId w:val="10"/>
  </w:num>
  <w:num w:numId="11">
    <w:abstractNumId w:val="13"/>
  </w:num>
  <w:num w:numId="12">
    <w:abstractNumId w:val="6"/>
  </w:num>
  <w:num w:numId="13">
    <w:abstractNumId w:val="12"/>
  </w:num>
  <w:num w:numId="14">
    <w:abstractNumId w:val="2"/>
  </w:num>
  <w:num w:numId="15">
    <w:abstractNumId w:val="1"/>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4D"/>
    <w:rsid w:val="00146794"/>
    <w:rsid w:val="002617CF"/>
    <w:rsid w:val="002B1E7C"/>
    <w:rsid w:val="002E6CF9"/>
    <w:rsid w:val="002F560D"/>
    <w:rsid w:val="00335DE8"/>
    <w:rsid w:val="003E5FBE"/>
    <w:rsid w:val="00433BA5"/>
    <w:rsid w:val="00463C99"/>
    <w:rsid w:val="005F4720"/>
    <w:rsid w:val="00617517"/>
    <w:rsid w:val="006670A3"/>
    <w:rsid w:val="006922D7"/>
    <w:rsid w:val="00896849"/>
    <w:rsid w:val="008D1B9C"/>
    <w:rsid w:val="00962BFD"/>
    <w:rsid w:val="009E0E7F"/>
    <w:rsid w:val="00A145CB"/>
    <w:rsid w:val="00AC6306"/>
    <w:rsid w:val="00B102BB"/>
    <w:rsid w:val="00B633DE"/>
    <w:rsid w:val="00BA64B7"/>
    <w:rsid w:val="00C93E78"/>
    <w:rsid w:val="00CF223F"/>
    <w:rsid w:val="00D81E8C"/>
    <w:rsid w:val="00E15400"/>
    <w:rsid w:val="00E25D4D"/>
    <w:rsid w:val="00E27345"/>
    <w:rsid w:val="00E44D08"/>
    <w:rsid w:val="00F36EE7"/>
    <w:rsid w:val="00FC2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F83885"/>
  <w15:chartTrackingRefBased/>
  <w15:docId w15:val="{FBABE064-C725-49D5-97F6-BD2A9B2F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D4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 0"/>
    <w:basedOn w:val="Normal"/>
    <w:semiHidden/>
    <w:rsid w:val="00E25D4D"/>
    <w:pPr>
      <w:numPr>
        <w:numId w:val="1"/>
      </w:numPr>
    </w:pPr>
    <w:rPr>
      <w:sz w:val="20"/>
      <w:szCs w:val="20"/>
    </w:rPr>
  </w:style>
  <w:style w:type="table" w:styleId="TableGrid">
    <w:name w:val="Table Grid"/>
    <w:basedOn w:val="TableNormal"/>
    <w:uiPriority w:val="39"/>
    <w:rsid w:val="00E25D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25D4D"/>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25D4D"/>
    <w:rPr>
      <w:sz w:val="20"/>
      <w:szCs w:val="20"/>
    </w:rPr>
  </w:style>
  <w:style w:type="character" w:styleId="FootnoteReference">
    <w:name w:val="footnote reference"/>
    <w:basedOn w:val="DefaultParagraphFont"/>
    <w:uiPriority w:val="99"/>
    <w:semiHidden/>
    <w:unhideWhenUsed/>
    <w:rsid w:val="00E25D4D"/>
    <w:rPr>
      <w:vertAlign w:val="superscript"/>
    </w:rPr>
  </w:style>
  <w:style w:type="character" w:styleId="Hyperlink">
    <w:name w:val="Hyperlink"/>
    <w:basedOn w:val="DefaultParagraphFont"/>
    <w:uiPriority w:val="99"/>
    <w:unhideWhenUsed/>
    <w:rsid w:val="00E25D4D"/>
    <w:rPr>
      <w:color w:val="0563C1" w:themeColor="hyperlink"/>
      <w:u w:val="single"/>
    </w:rPr>
  </w:style>
  <w:style w:type="paragraph" w:styleId="ListParagraph">
    <w:name w:val="List Paragraph"/>
    <w:basedOn w:val="Normal"/>
    <w:uiPriority w:val="34"/>
    <w:qFormat/>
    <w:rsid w:val="00E25D4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lead">
    <w:name w:val="lead"/>
    <w:basedOn w:val="Normal"/>
    <w:rsid w:val="00E25D4D"/>
    <w:pPr>
      <w:spacing w:before="100" w:beforeAutospacing="1" w:after="100" w:afterAutospacing="1"/>
    </w:pPr>
  </w:style>
  <w:style w:type="character" w:styleId="Strong">
    <w:name w:val="Strong"/>
    <w:basedOn w:val="DefaultParagraphFont"/>
    <w:uiPriority w:val="22"/>
    <w:qFormat/>
    <w:rsid w:val="00E25D4D"/>
    <w:rPr>
      <w:b/>
      <w:bCs/>
    </w:rPr>
  </w:style>
  <w:style w:type="paragraph" w:styleId="Header">
    <w:name w:val="header"/>
    <w:basedOn w:val="Normal"/>
    <w:link w:val="HeaderChar"/>
    <w:uiPriority w:val="99"/>
    <w:unhideWhenUsed/>
    <w:rsid w:val="00D81E8C"/>
    <w:pPr>
      <w:tabs>
        <w:tab w:val="center" w:pos="4513"/>
        <w:tab w:val="right" w:pos="9026"/>
      </w:tabs>
    </w:pPr>
  </w:style>
  <w:style w:type="character" w:customStyle="1" w:styleId="HeaderChar">
    <w:name w:val="Header Char"/>
    <w:basedOn w:val="DefaultParagraphFont"/>
    <w:link w:val="Header"/>
    <w:uiPriority w:val="99"/>
    <w:rsid w:val="00D81E8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81E8C"/>
    <w:pPr>
      <w:tabs>
        <w:tab w:val="center" w:pos="4513"/>
        <w:tab w:val="right" w:pos="9026"/>
      </w:tabs>
    </w:pPr>
  </w:style>
  <w:style w:type="character" w:customStyle="1" w:styleId="FooterChar">
    <w:name w:val="Footer Char"/>
    <w:basedOn w:val="DefaultParagraphFont"/>
    <w:link w:val="Footer"/>
    <w:uiPriority w:val="99"/>
    <w:rsid w:val="00D81E8C"/>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F223F"/>
    <w:rPr>
      <w:sz w:val="16"/>
      <w:szCs w:val="16"/>
    </w:rPr>
  </w:style>
  <w:style w:type="paragraph" w:styleId="CommentText">
    <w:name w:val="annotation text"/>
    <w:basedOn w:val="Normal"/>
    <w:link w:val="CommentTextChar"/>
    <w:uiPriority w:val="99"/>
    <w:semiHidden/>
    <w:unhideWhenUsed/>
    <w:rsid w:val="00CF223F"/>
    <w:rPr>
      <w:sz w:val="20"/>
      <w:szCs w:val="20"/>
    </w:rPr>
  </w:style>
  <w:style w:type="character" w:customStyle="1" w:styleId="CommentTextChar">
    <w:name w:val="Comment Text Char"/>
    <w:basedOn w:val="DefaultParagraphFont"/>
    <w:link w:val="CommentText"/>
    <w:uiPriority w:val="99"/>
    <w:semiHidden/>
    <w:rsid w:val="00CF22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223F"/>
    <w:rPr>
      <w:b/>
      <w:bCs/>
    </w:rPr>
  </w:style>
  <w:style w:type="character" w:customStyle="1" w:styleId="CommentSubjectChar">
    <w:name w:val="Comment Subject Char"/>
    <w:basedOn w:val="CommentTextChar"/>
    <w:link w:val="CommentSubject"/>
    <w:uiPriority w:val="99"/>
    <w:semiHidden/>
    <w:rsid w:val="00CF223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F2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23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07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iff.ac.uk/about/our-profile/our-values/university-for-all/raising-aspirations/first-campus-activit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diff.ac.uk/about/our-profile/our-values/university-for-all/raising-aspirations/step-up-programme" TargetMode="External"/><Relationship Id="rId12" Type="http://schemas.openxmlformats.org/officeDocument/2006/relationships/hyperlink" Target="http://www.cardiff.ac.uk/study/campus-life/facilities-and-services/student-support/mentor-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ghereducationroadshow.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irstcampus.org/" TargetMode="External"/><Relationship Id="rId4" Type="http://schemas.openxmlformats.org/officeDocument/2006/relationships/webSettings" Target="webSettings.xml"/><Relationship Id="rId9" Type="http://schemas.openxmlformats.org/officeDocument/2006/relationships/hyperlink" Target="http://www.cardiff.ac.uk/about/our-profile/our-values/university-for-all/raising-aspirations/first-campus-activiti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hesa.ac.uk/pis/benchmarks" TargetMode="External"/><Relationship Id="rId1" Type="http://schemas.openxmlformats.org/officeDocument/2006/relationships/hyperlink" Target="http://www.wiserd.ac.uk/research/publications/wiserd-publications/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15</Pages>
  <Words>4768</Words>
  <Characters>27182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RHall</cp:lastModifiedBy>
  <cp:revision>24</cp:revision>
  <dcterms:created xsi:type="dcterms:W3CDTF">2016-04-20T09:17:00Z</dcterms:created>
  <dcterms:modified xsi:type="dcterms:W3CDTF">2016-05-06T09:16:00Z</dcterms:modified>
</cp:coreProperties>
</file>